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B82C" w14:textId="61672308" w:rsidR="00905FF3" w:rsidRDefault="0061562A" w:rsidP="0061562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3440A9" wp14:editId="03B12BF1">
                <wp:simplePos x="0" y="0"/>
                <wp:positionH relativeFrom="margin">
                  <wp:align>center</wp:align>
                </wp:positionH>
                <wp:positionV relativeFrom="paragraph">
                  <wp:posOffset>-227076</wp:posOffset>
                </wp:positionV>
                <wp:extent cx="7366635" cy="5897460"/>
                <wp:effectExtent l="0" t="0" r="2476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635" cy="5897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13229" id="Rectangle 3" o:spid="_x0000_s1026" style="position:absolute;margin-left:0;margin-top:-17.9pt;width:580.05pt;height:464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" fillcolor="#1f3763 [1604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4603982" wp14:editId="46C0DC4A">
            <wp:extent cx="1181287" cy="1095375"/>
            <wp:effectExtent l="0" t="0" r="0" b="0"/>
            <wp:docPr id="2" name="Picture 2" descr="Nolan Center for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lan Center for Justi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5" r="18934"/>
                    <a:stretch/>
                  </pic:blipFill>
                  <pic:spPr bwMode="auto">
                    <a:xfrm>
                      <a:off x="0" y="0"/>
                      <a:ext cx="1193807" cy="110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7C59E" w14:textId="414CF7EF" w:rsidR="0061562A" w:rsidRDefault="00673EBD" w:rsidP="0061562A">
      <w:pPr>
        <w:rPr>
          <w:rFonts w:ascii="Times New Roman" w:hAnsi="Times New Roman" w:cs="Times New Roman"/>
          <w:color w:val="FFFFFF" w:themeColor="background1"/>
          <w:sz w:val="44"/>
          <w:szCs w:val="44"/>
        </w:rPr>
      </w:pPr>
      <w:r>
        <w:rPr>
          <w:rFonts w:ascii="Times New Roman" w:hAnsi="Times New Roman" w:cs="Times New Roman"/>
          <w:color w:val="FFFFFF" w:themeColor="background1"/>
          <w:sz w:val="44"/>
          <w:szCs w:val="44"/>
        </w:rPr>
        <w:t>HB 921</w:t>
      </w:r>
      <w:r w:rsidR="00A77101">
        <w:rPr>
          <w:rFonts w:ascii="Times New Roman" w:hAnsi="Times New Roman" w:cs="Times New Roman"/>
          <w:color w:val="FFFFFF" w:themeColor="background1"/>
          <w:sz w:val="44"/>
          <w:szCs w:val="44"/>
        </w:rPr>
        <w:t>/SB 968</w:t>
      </w:r>
      <w:r>
        <w:rPr>
          <w:rFonts w:ascii="Times New Roman" w:hAnsi="Times New Roman" w:cs="Times New Roman"/>
          <w:color w:val="FFFFFF" w:themeColor="background1"/>
          <w:sz w:val="44"/>
          <w:szCs w:val="44"/>
        </w:rPr>
        <w:t xml:space="preserve"> </w:t>
      </w:r>
      <w:r w:rsidR="00AF29B8">
        <w:rPr>
          <w:rFonts w:ascii="Times New Roman" w:hAnsi="Times New Roman" w:cs="Times New Roman"/>
          <w:color w:val="FFFFFF" w:themeColor="background1"/>
          <w:sz w:val="44"/>
          <w:szCs w:val="44"/>
        </w:rPr>
        <w:t xml:space="preserve">Promote Economic Growth While Protecting Public Safety </w:t>
      </w:r>
    </w:p>
    <w:p w14:paraId="2DA4E016" w14:textId="55653FE8" w:rsidR="00321139" w:rsidRPr="00E10982" w:rsidRDefault="000104AF" w:rsidP="0061562A">
      <w:pPr>
        <w:rPr>
          <w:rFonts w:ascii="Barlow" w:hAnsi="Barlow" w:cstheme="minorHAnsi"/>
          <w:color w:val="FFFFFF" w:themeColor="background1"/>
          <w:sz w:val="24"/>
          <w:szCs w:val="24"/>
        </w:rPr>
      </w:pPr>
      <w:r w:rsidRPr="000104AF">
        <w:rPr>
          <w:rFonts w:ascii="Barlow" w:hAnsi="Barlow" w:cstheme="minorHAnsi"/>
          <w:color w:val="FFFFFF" w:themeColor="background1"/>
          <w:sz w:val="24"/>
          <w:szCs w:val="24"/>
        </w:rPr>
        <w:t xml:space="preserve">For most </w:t>
      </w:r>
      <w:r w:rsidR="00A91595">
        <w:rPr>
          <w:rFonts w:ascii="Barlow" w:hAnsi="Barlow" w:cstheme="minorHAnsi"/>
          <w:color w:val="FFFFFF" w:themeColor="background1"/>
          <w:sz w:val="24"/>
          <w:szCs w:val="24"/>
        </w:rPr>
        <w:t>Floridians</w:t>
      </w:r>
      <w:r w:rsidRPr="000104AF">
        <w:rPr>
          <w:rFonts w:ascii="Barlow" w:hAnsi="Barlow" w:cstheme="minorHAnsi"/>
          <w:color w:val="FFFFFF" w:themeColor="background1"/>
          <w:sz w:val="24"/>
          <w:szCs w:val="24"/>
        </w:rPr>
        <w:t>, driving a vehicle is essential</w:t>
      </w:r>
      <w:r w:rsidR="00FF768F">
        <w:rPr>
          <w:rFonts w:ascii="Barlow" w:hAnsi="Barlow" w:cstheme="minorHAnsi"/>
          <w:color w:val="FFFFFF" w:themeColor="background1"/>
          <w:sz w:val="24"/>
          <w:szCs w:val="24"/>
        </w:rPr>
        <w:t>.</w:t>
      </w:r>
      <w:r w:rsidR="00430DAD">
        <w:rPr>
          <w:rFonts w:ascii="Barlow" w:hAnsi="Barlow" w:cstheme="minorHAnsi"/>
          <w:color w:val="FFFFFF" w:themeColor="background1"/>
          <w:sz w:val="24"/>
          <w:szCs w:val="24"/>
        </w:rPr>
        <w:t xml:space="preserve"> </w:t>
      </w:r>
      <w:r w:rsidR="00FF768F">
        <w:rPr>
          <w:rFonts w:ascii="Barlow" w:hAnsi="Barlow" w:cstheme="minorHAnsi"/>
          <w:color w:val="FFFFFF" w:themeColor="background1"/>
          <w:sz w:val="24"/>
          <w:szCs w:val="24"/>
        </w:rPr>
        <w:t>I</w:t>
      </w:r>
      <w:r w:rsidRPr="000104AF">
        <w:rPr>
          <w:rFonts w:ascii="Barlow" w:hAnsi="Barlow" w:cstheme="minorHAnsi"/>
          <w:color w:val="FFFFFF" w:themeColor="background1"/>
          <w:sz w:val="24"/>
          <w:szCs w:val="24"/>
        </w:rPr>
        <w:t>t is the way that they get to work, attend school or church, buy food, go to medical appointments, pick up kids, and otherwise fulfill the basic necessities of life.</w:t>
      </w:r>
      <w:r>
        <w:rPr>
          <w:rFonts w:ascii="Barlow" w:hAnsi="Barlow" w:cstheme="minorHAnsi"/>
          <w:color w:val="FFFFFF" w:themeColor="background1"/>
          <w:sz w:val="24"/>
          <w:szCs w:val="24"/>
        </w:rPr>
        <w:t xml:space="preserve"> </w:t>
      </w:r>
      <w:r w:rsidR="00D57F01">
        <w:rPr>
          <w:rFonts w:ascii="Barlow" w:hAnsi="Barlow" w:cstheme="minorHAnsi"/>
          <w:color w:val="FFFFFF" w:themeColor="background1"/>
          <w:sz w:val="24"/>
          <w:szCs w:val="24"/>
        </w:rPr>
        <w:t xml:space="preserve">Suspending licenses </w:t>
      </w:r>
      <w:r w:rsidR="005B37E3">
        <w:rPr>
          <w:rFonts w:ascii="Barlow" w:hAnsi="Barlow" w:cstheme="minorHAnsi"/>
          <w:color w:val="FFFFFF" w:themeColor="background1"/>
          <w:sz w:val="24"/>
          <w:szCs w:val="24"/>
        </w:rPr>
        <w:t>for fines and fees unrelated to public safety</w:t>
      </w:r>
      <w:r w:rsidR="00462919">
        <w:rPr>
          <w:rFonts w:ascii="Barlow" w:hAnsi="Barlow" w:cstheme="minorHAnsi"/>
          <w:color w:val="FFFFFF" w:themeColor="background1"/>
          <w:sz w:val="24"/>
          <w:szCs w:val="24"/>
        </w:rPr>
        <w:t xml:space="preserve"> </w:t>
      </w:r>
      <w:r w:rsidR="008C6645">
        <w:rPr>
          <w:rFonts w:ascii="Barlow" w:hAnsi="Barlow" w:cstheme="minorHAnsi"/>
          <w:color w:val="FFFFFF" w:themeColor="background1"/>
          <w:sz w:val="24"/>
          <w:szCs w:val="24"/>
        </w:rPr>
        <w:t xml:space="preserve">leads </w:t>
      </w:r>
      <w:r w:rsidR="00375425">
        <w:rPr>
          <w:rFonts w:ascii="Barlow" w:hAnsi="Barlow" w:cstheme="minorHAnsi"/>
          <w:color w:val="FFFFFF" w:themeColor="background1"/>
          <w:sz w:val="24"/>
          <w:szCs w:val="24"/>
        </w:rPr>
        <w:t xml:space="preserve">to negative collateral consequences that both </w:t>
      </w:r>
      <w:r w:rsidR="00FC56CA">
        <w:rPr>
          <w:rFonts w:ascii="Barlow" w:hAnsi="Barlow" w:cstheme="minorHAnsi"/>
          <w:color w:val="FFFFFF" w:themeColor="background1"/>
          <w:sz w:val="24"/>
          <w:szCs w:val="24"/>
        </w:rPr>
        <w:t>harm</w:t>
      </w:r>
      <w:r w:rsidR="00375425">
        <w:rPr>
          <w:rFonts w:ascii="Barlow" w:hAnsi="Barlow" w:cstheme="minorHAnsi"/>
          <w:color w:val="FFFFFF" w:themeColor="background1"/>
          <w:sz w:val="24"/>
          <w:szCs w:val="24"/>
        </w:rPr>
        <w:t xml:space="preserve"> the economy and </w:t>
      </w:r>
      <w:r w:rsidR="00E56CE4">
        <w:rPr>
          <w:rFonts w:ascii="Barlow" w:hAnsi="Barlow" w:cstheme="minorHAnsi"/>
          <w:color w:val="FFFFFF" w:themeColor="background1"/>
          <w:sz w:val="24"/>
          <w:szCs w:val="24"/>
        </w:rPr>
        <w:t xml:space="preserve">burden </w:t>
      </w:r>
      <w:r w:rsidR="00FC56CA">
        <w:rPr>
          <w:rFonts w:ascii="Barlow" w:hAnsi="Barlow" w:cstheme="minorHAnsi"/>
          <w:color w:val="FFFFFF" w:themeColor="background1"/>
          <w:sz w:val="24"/>
          <w:szCs w:val="24"/>
        </w:rPr>
        <w:t>resource</w:t>
      </w:r>
      <w:r w:rsidR="00FB7337">
        <w:rPr>
          <w:rFonts w:ascii="Barlow" w:hAnsi="Barlow" w:cstheme="minorHAnsi"/>
          <w:color w:val="FFFFFF" w:themeColor="background1"/>
          <w:sz w:val="24"/>
          <w:szCs w:val="24"/>
        </w:rPr>
        <w:t>-</w:t>
      </w:r>
      <w:r w:rsidR="00FC56CA">
        <w:rPr>
          <w:rFonts w:ascii="Barlow" w:hAnsi="Barlow" w:cstheme="minorHAnsi"/>
          <w:color w:val="FFFFFF" w:themeColor="background1"/>
          <w:sz w:val="24"/>
          <w:szCs w:val="24"/>
        </w:rPr>
        <w:t xml:space="preserve">challenged law enforcement agencies. </w:t>
      </w:r>
    </w:p>
    <w:p w14:paraId="01012DED" w14:textId="1769934A" w:rsidR="00321139" w:rsidRPr="00E10982" w:rsidRDefault="00FC56CA" w:rsidP="0061562A">
      <w:pPr>
        <w:rPr>
          <w:rFonts w:ascii="Barlow" w:hAnsi="Barlow" w:cstheme="minorHAnsi"/>
          <w:color w:val="FFFFFF" w:themeColor="background1"/>
          <w:sz w:val="24"/>
          <w:szCs w:val="24"/>
        </w:rPr>
      </w:pPr>
      <w:r>
        <w:rPr>
          <w:rFonts w:ascii="Barlow" w:hAnsi="Barlow" w:cstheme="minorHAnsi"/>
          <w:color w:val="FFFFFF" w:themeColor="background1"/>
          <w:sz w:val="24"/>
          <w:szCs w:val="24"/>
        </w:rPr>
        <w:t xml:space="preserve">Florida has the opportunity to join other conservative states in ending this unjustified practice. </w:t>
      </w:r>
      <w:r w:rsidR="00967DD3">
        <w:rPr>
          <w:rFonts w:ascii="Barlow" w:hAnsi="Barlow" w:cstheme="minorHAnsi"/>
          <w:color w:val="FFFFFF" w:themeColor="background1"/>
          <w:sz w:val="24"/>
          <w:szCs w:val="24"/>
        </w:rPr>
        <w:t xml:space="preserve">Over 700,000 Floridians </w:t>
      </w:r>
      <w:r w:rsidR="00AF172C">
        <w:rPr>
          <w:rFonts w:ascii="Barlow" w:hAnsi="Barlow" w:cstheme="minorHAnsi"/>
          <w:color w:val="FFFFFF" w:themeColor="background1"/>
          <w:sz w:val="24"/>
          <w:szCs w:val="24"/>
        </w:rPr>
        <w:t>are unable to legally possess a license because of unpaid f</w:t>
      </w:r>
      <w:r w:rsidR="00DC037A">
        <w:rPr>
          <w:rFonts w:ascii="Barlow" w:hAnsi="Barlow" w:cstheme="minorHAnsi"/>
          <w:color w:val="FFFFFF" w:themeColor="background1"/>
          <w:sz w:val="24"/>
          <w:szCs w:val="24"/>
        </w:rPr>
        <w:t>ines and fees</w:t>
      </w:r>
      <w:r w:rsidR="0046740F">
        <w:rPr>
          <w:rFonts w:ascii="Barlow" w:hAnsi="Barlow" w:cstheme="minorHAnsi"/>
          <w:color w:val="FFFFFF" w:themeColor="background1"/>
          <w:sz w:val="24"/>
          <w:szCs w:val="24"/>
        </w:rPr>
        <w:t xml:space="preserve">, not because they pose a public safety risk on the state’s roadways. </w:t>
      </w:r>
      <w:r w:rsidR="00E410A7">
        <w:rPr>
          <w:rFonts w:ascii="Barlow" w:hAnsi="Barlow" w:cstheme="minorHAnsi"/>
          <w:color w:val="FFFFFF" w:themeColor="background1"/>
          <w:sz w:val="24"/>
          <w:szCs w:val="24"/>
        </w:rPr>
        <w:t xml:space="preserve">  </w:t>
      </w:r>
      <w:r w:rsidR="00D44208">
        <w:rPr>
          <w:rFonts w:ascii="Barlow" w:hAnsi="Barlow" w:cstheme="minorHAnsi"/>
          <w:color w:val="FFFFFF" w:themeColor="background1"/>
          <w:sz w:val="24"/>
          <w:szCs w:val="24"/>
        </w:rPr>
        <w:t xml:space="preserve"> </w:t>
      </w:r>
      <w:r w:rsidR="00AF172C">
        <w:rPr>
          <w:rFonts w:ascii="Barlow" w:hAnsi="Barlow" w:cstheme="minorHAnsi"/>
          <w:color w:val="FFFFFF" w:themeColor="background1"/>
          <w:sz w:val="24"/>
          <w:szCs w:val="24"/>
        </w:rPr>
        <w:t xml:space="preserve"> </w:t>
      </w:r>
    </w:p>
    <w:p w14:paraId="445504F4" w14:textId="5C4E975A" w:rsidR="00BA1083" w:rsidRPr="00E10982" w:rsidRDefault="0062647E" w:rsidP="0061562A">
      <w:pPr>
        <w:rPr>
          <w:rFonts w:ascii="Barlow" w:hAnsi="Barlow" w:cstheme="minorHAnsi"/>
          <w:color w:val="FFFFFF" w:themeColor="background1"/>
          <w:sz w:val="24"/>
          <w:szCs w:val="24"/>
        </w:rPr>
      </w:pPr>
      <w:r>
        <w:rPr>
          <w:rFonts w:ascii="Barlow" w:hAnsi="Barlow" w:cstheme="minorHAnsi"/>
          <w:color w:val="FFFFFF" w:themeColor="background1"/>
          <w:sz w:val="24"/>
          <w:szCs w:val="24"/>
        </w:rPr>
        <w:t xml:space="preserve">Since 2017, </w:t>
      </w:r>
      <w:r w:rsidR="0091502C">
        <w:rPr>
          <w:rFonts w:ascii="Barlow" w:hAnsi="Barlow" w:cstheme="minorHAnsi"/>
          <w:color w:val="FFFFFF" w:themeColor="background1"/>
          <w:sz w:val="24"/>
          <w:szCs w:val="24"/>
        </w:rPr>
        <w:t>22</w:t>
      </w:r>
      <w:r w:rsidR="0092481C">
        <w:rPr>
          <w:rFonts w:ascii="Barlow" w:hAnsi="Barlow" w:cstheme="minorHAnsi"/>
          <w:color w:val="FFFFFF" w:themeColor="background1"/>
          <w:sz w:val="24"/>
          <w:szCs w:val="24"/>
        </w:rPr>
        <w:t xml:space="preserve"> </w:t>
      </w:r>
      <w:r>
        <w:rPr>
          <w:rFonts w:ascii="Barlow" w:hAnsi="Barlow" w:cstheme="minorHAnsi"/>
          <w:color w:val="FFFFFF" w:themeColor="background1"/>
          <w:sz w:val="24"/>
          <w:szCs w:val="24"/>
        </w:rPr>
        <w:t xml:space="preserve">states have </w:t>
      </w:r>
      <w:r w:rsidR="00A46551">
        <w:rPr>
          <w:rFonts w:ascii="Barlow" w:hAnsi="Barlow" w:cstheme="minorHAnsi"/>
          <w:color w:val="FFFFFF" w:themeColor="background1"/>
          <w:sz w:val="24"/>
          <w:szCs w:val="24"/>
        </w:rPr>
        <w:t>ended</w:t>
      </w:r>
      <w:r w:rsidR="007D67C0">
        <w:rPr>
          <w:rFonts w:ascii="Barlow" w:hAnsi="Barlow" w:cstheme="minorHAnsi"/>
          <w:color w:val="FFFFFF" w:themeColor="background1"/>
          <w:sz w:val="24"/>
          <w:szCs w:val="24"/>
        </w:rPr>
        <w:t xml:space="preserve"> or </w:t>
      </w:r>
      <w:r w:rsidR="00790174">
        <w:rPr>
          <w:rFonts w:ascii="Barlow" w:hAnsi="Barlow" w:cstheme="minorHAnsi"/>
          <w:color w:val="FFFFFF" w:themeColor="background1"/>
          <w:sz w:val="24"/>
          <w:szCs w:val="24"/>
        </w:rPr>
        <w:t>limited</w:t>
      </w:r>
      <w:r w:rsidR="00A46551">
        <w:rPr>
          <w:rFonts w:ascii="Barlow" w:hAnsi="Barlow" w:cstheme="minorHAnsi"/>
          <w:color w:val="FFFFFF" w:themeColor="background1"/>
          <w:sz w:val="24"/>
          <w:szCs w:val="24"/>
        </w:rPr>
        <w:t xml:space="preserve"> </w:t>
      </w:r>
      <w:r w:rsidR="00790174">
        <w:rPr>
          <w:rFonts w:ascii="Barlow" w:hAnsi="Barlow" w:cstheme="minorHAnsi"/>
          <w:color w:val="FFFFFF" w:themeColor="background1"/>
          <w:sz w:val="24"/>
          <w:szCs w:val="24"/>
        </w:rPr>
        <w:t>driver’s</w:t>
      </w:r>
      <w:r w:rsidR="00A46551">
        <w:rPr>
          <w:rFonts w:ascii="Barlow" w:hAnsi="Barlow" w:cstheme="minorHAnsi"/>
          <w:color w:val="FFFFFF" w:themeColor="background1"/>
          <w:sz w:val="24"/>
          <w:szCs w:val="24"/>
        </w:rPr>
        <w:t xml:space="preserve"> license suspensions for </w:t>
      </w:r>
      <w:r w:rsidR="00FC4B42">
        <w:rPr>
          <w:rFonts w:ascii="Barlow" w:hAnsi="Barlow" w:cstheme="minorHAnsi"/>
          <w:color w:val="FFFFFF" w:themeColor="background1"/>
          <w:sz w:val="24"/>
          <w:szCs w:val="24"/>
        </w:rPr>
        <w:t>failure to pay fines and fees, including conservate</w:t>
      </w:r>
      <w:r w:rsidR="007D67C0">
        <w:rPr>
          <w:rFonts w:ascii="Barlow" w:hAnsi="Barlow" w:cstheme="minorHAnsi"/>
          <w:color w:val="FFFFFF" w:themeColor="background1"/>
          <w:sz w:val="24"/>
          <w:szCs w:val="24"/>
        </w:rPr>
        <w:t xml:space="preserve"> leaders </w:t>
      </w:r>
      <w:r w:rsidR="00FC4B42">
        <w:rPr>
          <w:rFonts w:ascii="Barlow" w:hAnsi="Barlow" w:cstheme="minorHAnsi"/>
          <w:color w:val="FFFFFF" w:themeColor="background1"/>
          <w:sz w:val="24"/>
          <w:szCs w:val="24"/>
        </w:rPr>
        <w:t xml:space="preserve">in Texas, Utah, Mississippi, Idaho, and West Virginia. </w:t>
      </w:r>
      <w:r w:rsidR="00790174">
        <w:rPr>
          <w:rFonts w:ascii="Barlow" w:hAnsi="Barlow" w:cstheme="minorHAnsi"/>
          <w:color w:val="FFFFFF" w:themeColor="background1"/>
          <w:sz w:val="24"/>
          <w:szCs w:val="24"/>
        </w:rPr>
        <w:t xml:space="preserve">These laws </w:t>
      </w:r>
      <w:r w:rsidR="008E0100">
        <w:rPr>
          <w:rFonts w:ascii="Barlow" w:hAnsi="Barlow" w:cstheme="minorHAnsi"/>
          <w:color w:val="FFFFFF" w:themeColor="background1"/>
          <w:sz w:val="24"/>
          <w:szCs w:val="24"/>
        </w:rPr>
        <w:t xml:space="preserve">have downstream </w:t>
      </w:r>
      <w:r w:rsidR="00D11F5A">
        <w:rPr>
          <w:rFonts w:ascii="Barlow" w:hAnsi="Barlow" w:cstheme="minorHAnsi"/>
          <w:color w:val="FFFFFF" w:themeColor="background1"/>
          <w:sz w:val="24"/>
          <w:szCs w:val="24"/>
        </w:rPr>
        <w:t xml:space="preserve">effects on </w:t>
      </w:r>
      <w:r w:rsidR="00854387">
        <w:rPr>
          <w:rFonts w:ascii="Barlow" w:hAnsi="Barlow" w:cstheme="minorHAnsi"/>
          <w:color w:val="FFFFFF" w:themeColor="background1"/>
          <w:sz w:val="24"/>
          <w:szCs w:val="24"/>
        </w:rPr>
        <w:t xml:space="preserve">a state’s </w:t>
      </w:r>
      <w:r w:rsidR="00D11F5A">
        <w:rPr>
          <w:rFonts w:ascii="Barlow" w:hAnsi="Barlow" w:cstheme="minorHAnsi"/>
          <w:color w:val="FFFFFF" w:themeColor="background1"/>
          <w:sz w:val="24"/>
          <w:szCs w:val="24"/>
        </w:rPr>
        <w:t>econom</w:t>
      </w:r>
      <w:r w:rsidR="00B64951">
        <w:rPr>
          <w:rFonts w:ascii="Barlow" w:hAnsi="Barlow" w:cstheme="minorHAnsi"/>
          <w:color w:val="FFFFFF" w:themeColor="background1"/>
          <w:sz w:val="24"/>
          <w:szCs w:val="24"/>
        </w:rPr>
        <w:t>ic growth</w:t>
      </w:r>
      <w:r w:rsidR="00D11F5A">
        <w:rPr>
          <w:rFonts w:ascii="Barlow" w:hAnsi="Barlow" w:cstheme="minorHAnsi"/>
          <w:color w:val="FFFFFF" w:themeColor="background1"/>
          <w:sz w:val="24"/>
          <w:szCs w:val="24"/>
        </w:rPr>
        <w:t xml:space="preserve">, </w:t>
      </w:r>
      <w:r w:rsidR="00625817">
        <w:rPr>
          <w:rFonts w:ascii="Barlow" w:hAnsi="Barlow" w:cstheme="minorHAnsi"/>
          <w:color w:val="FFFFFF" w:themeColor="background1"/>
          <w:sz w:val="24"/>
          <w:szCs w:val="24"/>
        </w:rPr>
        <w:t xml:space="preserve">improving the ability of businesses to employ qualified workers and </w:t>
      </w:r>
      <w:r w:rsidR="007A4A15">
        <w:rPr>
          <w:rFonts w:ascii="Barlow" w:hAnsi="Barlow" w:cstheme="minorHAnsi"/>
          <w:color w:val="FFFFFF" w:themeColor="background1"/>
          <w:sz w:val="24"/>
          <w:szCs w:val="24"/>
        </w:rPr>
        <w:t xml:space="preserve">ensuring </w:t>
      </w:r>
      <w:r w:rsidR="005234B1">
        <w:rPr>
          <w:rFonts w:ascii="Barlow" w:hAnsi="Barlow" w:cstheme="minorHAnsi"/>
          <w:color w:val="FFFFFF" w:themeColor="background1"/>
          <w:sz w:val="24"/>
          <w:szCs w:val="24"/>
        </w:rPr>
        <w:t xml:space="preserve">consumers </w:t>
      </w:r>
      <w:r w:rsidR="00CC3C72">
        <w:rPr>
          <w:rFonts w:ascii="Barlow" w:hAnsi="Barlow" w:cstheme="minorHAnsi"/>
          <w:color w:val="FFFFFF" w:themeColor="background1"/>
          <w:sz w:val="24"/>
          <w:szCs w:val="24"/>
        </w:rPr>
        <w:t xml:space="preserve">can </w:t>
      </w:r>
      <w:r w:rsidR="00AE7708">
        <w:rPr>
          <w:rFonts w:ascii="Barlow" w:hAnsi="Barlow" w:cstheme="minorHAnsi"/>
          <w:color w:val="FFFFFF" w:themeColor="background1"/>
          <w:sz w:val="24"/>
          <w:szCs w:val="24"/>
        </w:rPr>
        <w:t xml:space="preserve">meaningfully </w:t>
      </w:r>
      <w:r w:rsidR="00651780">
        <w:rPr>
          <w:rFonts w:ascii="Barlow" w:hAnsi="Barlow" w:cstheme="minorHAnsi"/>
          <w:color w:val="FFFFFF" w:themeColor="background1"/>
          <w:sz w:val="24"/>
          <w:szCs w:val="24"/>
        </w:rPr>
        <w:t xml:space="preserve">participate </w:t>
      </w:r>
      <w:r w:rsidR="00B64951">
        <w:rPr>
          <w:rFonts w:ascii="Barlow" w:hAnsi="Barlow" w:cstheme="minorHAnsi"/>
          <w:color w:val="FFFFFF" w:themeColor="background1"/>
          <w:sz w:val="24"/>
          <w:szCs w:val="24"/>
        </w:rPr>
        <w:t xml:space="preserve">in the economy. </w:t>
      </w:r>
    </w:p>
    <w:p w14:paraId="7B0109C6" w14:textId="207FA1C6" w:rsidR="004509DF" w:rsidRDefault="00BB61D1" w:rsidP="00952CED">
      <w:pPr>
        <w:rPr>
          <w:rFonts w:ascii="Barlow" w:hAnsi="Barlow" w:cstheme="minorHAnsi"/>
          <w:color w:val="FFFFFF" w:themeColor="background1"/>
          <w:sz w:val="24"/>
          <w:szCs w:val="24"/>
        </w:rPr>
      </w:pPr>
      <w:r>
        <w:rPr>
          <w:rFonts w:ascii="Barlow" w:hAnsi="Barlow" w:cstheme="minorHAnsi"/>
          <w:color w:val="FFFFFF" w:themeColor="background1"/>
          <w:sz w:val="24"/>
          <w:szCs w:val="24"/>
        </w:rPr>
        <w:t xml:space="preserve">Current </w:t>
      </w:r>
      <w:r w:rsidR="003E48F9">
        <w:rPr>
          <w:rFonts w:ascii="Barlow" w:hAnsi="Barlow" w:cstheme="minorHAnsi"/>
          <w:color w:val="FFFFFF" w:themeColor="background1"/>
          <w:sz w:val="24"/>
          <w:szCs w:val="24"/>
        </w:rPr>
        <w:t>l</w:t>
      </w:r>
      <w:r w:rsidR="007A384F">
        <w:rPr>
          <w:rFonts w:ascii="Barlow" w:hAnsi="Barlow" w:cstheme="minorHAnsi"/>
          <w:color w:val="FFFFFF" w:themeColor="background1"/>
          <w:sz w:val="24"/>
          <w:szCs w:val="24"/>
        </w:rPr>
        <w:t>icense suspension law</w:t>
      </w:r>
      <w:r w:rsidR="00EB0737">
        <w:rPr>
          <w:rFonts w:ascii="Barlow" w:hAnsi="Barlow" w:cstheme="minorHAnsi"/>
          <w:color w:val="FFFFFF" w:themeColor="background1"/>
          <w:sz w:val="24"/>
          <w:szCs w:val="24"/>
        </w:rPr>
        <w:t>s</w:t>
      </w:r>
      <w:r w:rsidR="007A384F">
        <w:rPr>
          <w:rFonts w:ascii="Barlow" w:hAnsi="Barlow" w:cstheme="minorHAnsi"/>
          <w:color w:val="FFFFFF" w:themeColor="background1"/>
          <w:sz w:val="24"/>
          <w:szCs w:val="24"/>
        </w:rPr>
        <w:t xml:space="preserve"> in Florida </w:t>
      </w:r>
      <w:r w:rsidR="00EB0737">
        <w:rPr>
          <w:rFonts w:ascii="Barlow" w:hAnsi="Barlow" w:cstheme="minorHAnsi"/>
          <w:color w:val="FFFFFF" w:themeColor="background1"/>
          <w:sz w:val="24"/>
          <w:szCs w:val="24"/>
        </w:rPr>
        <w:t>hinder the state’s economic growth</w:t>
      </w:r>
      <w:r w:rsidR="0091502C">
        <w:rPr>
          <w:rFonts w:ascii="Barlow" w:hAnsi="Barlow" w:cstheme="minorHAnsi"/>
          <w:color w:val="FFFFFF" w:themeColor="background1"/>
          <w:sz w:val="24"/>
          <w:szCs w:val="24"/>
        </w:rPr>
        <w:t xml:space="preserve"> while </w:t>
      </w:r>
      <w:r w:rsidR="00DF4EFD">
        <w:rPr>
          <w:rFonts w:ascii="Barlow" w:hAnsi="Barlow" w:cstheme="minorHAnsi"/>
          <w:color w:val="FFFFFF" w:themeColor="background1"/>
          <w:sz w:val="24"/>
          <w:szCs w:val="24"/>
        </w:rPr>
        <w:t>requir</w:t>
      </w:r>
      <w:r w:rsidR="0091502C">
        <w:rPr>
          <w:rFonts w:ascii="Barlow" w:hAnsi="Barlow" w:cstheme="minorHAnsi"/>
          <w:color w:val="FFFFFF" w:themeColor="background1"/>
          <w:sz w:val="24"/>
          <w:szCs w:val="24"/>
        </w:rPr>
        <w:t>ing</w:t>
      </w:r>
      <w:r w:rsidR="00DF4EFD">
        <w:rPr>
          <w:rFonts w:ascii="Barlow" w:hAnsi="Barlow" w:cstheme="minorHAnsi"/>
          <w:color w:val="FFFFFF" w:themeColor="background1"/>
          <w:sz w:val="24"/>
          <w:szCs w:val="24"/>
        </w:rPr>
        <w:t xml:space="preserve"> law enforcement agencies to </w:t>
      </w:r>
      <w:r w:rsidR="00AC0BE7">
        <w:rPr>
          <w:rFonts w:ascii="Barlow" w:hAnsi="Barlow" w:cstheme="minorHAnsi"/>
          <w:color w:val="FFFFFF" w:themeColor="background1"/>
          <w:sz w:val="24"/>
          <w:szCs w:val="24"/>
        </w:rPr>
        <w:t xml:space="preserve">commit </w:t>
      </w:r>
      <w:r w:rsidR="003A21D9">
        <w:rPr>
          <w:rFonts w:ascii="Barlow" w:hAnsi="Barlow" w:cstheme="minorHAnsi"/>
          <w:color w:val="FFFFFF" w:themeColor="background1"/>
          <w:sz w:val="24"/>
          <w:szCs w:val="24"/>
        </w:rPr>
        <w:t xml:space="preserve">limited resources </w:t>
      </w:r>
      <w:r w:rsidR="00B02E17">
        <w:rPr>
          <w:rFonts w:ascii="Barlow" w:hAnsi="Barlow" w:cstheme="minorHAnsi"/>
          <w:color w:val="FFFFFF" w:themeColor="background1"/>
          <w:sz w:val="24"/>
          <w:szCs w:val="24"/>
        </w:rPr>
        <w:t>towards enforc</w:t>
      </w:r>
      <w:r w:rsidR="0091502C">
        <w:rPr>
          <w:rFonts w:ascii="Barlow" w:hAnsi="Barlow" w:cstheme="minorHAnsi"/>
          <w:color w:val="FFFFFF" w:themeColor="background1"/>
          <w:sz w:val="24"/>
          <w:szCs w:val="24"/>
        </w:rPr>
        <w:t xml:space="preserve">ing minor </w:t>
      </w:r>
      <w:r w:rsidR="0004004E">
        <w:rPr>
          <w:rFonts w:ascii="Barlow" w:hAnsi="Barlow" w:cstheme="minorHAnsi"/>
          <w:color w:val="FFFFFF" w:themeColor="background1"/>
          <w:sz w:val="24"/>
          <w:szCs w:val="24"/>
        </w:rPr>
        <w:t>infractions.</w:t>
      </w:r>
      <w:r w:rsidR="00B02E17">
        <w:rPr>
          <w:rFonts w:ascii="Barlow" w:hAnsi="Barlow" w:cstheme="minorHAnsi"/>
          <w:color w:val="FFFFFF" w:themeColor="background1"/>
          <w:sz w:val="24"/>
          <w:szCs w:val="24"/>
        </w:rPr>
        <w:t xml:space="preserve"> </w:t>
      </w:r>
      <w:r w:rsidR="00974CAD">
        <w:rPr>
          <w:rFonts w:ascii="Barlow" w:hAnsi="Barlow" w:cstheme="minorHAnsi"/>
          <w:color w:val="FFFFFF" w:themeColor="background1"/>
          <w:sz w:val="24"/>
          <w:szCs w:val="24"/>
        </w:rPr>
        <w:t xml:space="preserve">HB 921 </w:t>
      </w:r>
      <w:r w:rsidR="00647E85">
        <w:rPr>
          <w:rFonts w:ascii="Barlow" w:hAnsi="Barlow" w:cstheme="minorHAnsi"/>
          <w:color w:val="FFFFFF" w:themeColor="background1"/>
          <w:sz w:val="24"/>
          <w:szCs w:val="24"/>
        </w:rPr>
        <w:t xml:space="preserve">and SB 968 </w:t>
      </w:r>
      <w:r w:rsidR="00974CAD">
        <w:rPr>
          <w:rFonts w:ascii="Barlow" w:hAnsi="Barlow" w:cstheme="minorHAnsi"/>
          <w:color w:val="FFFFFF" w:themeColor="background1"/>
          <w:sz w:val="24"/>
          <w:szCs w:val="24"/>
        </w:rPr>
        <w:t xml:space="preserve">provide a common-sense approach to </w:t>
      </w:r>
      <w:r w:rsidR="008B3DE5">
        <w:rPr>
          <w:rFonts w:ascii="Barlow" w:hAnsi="Barlow" w:cstheme="minorHAnsi"/>
          <w:color w:val="FFFFFF" w:themeColor="background1"/>
          <w:sz w:val="24"/>
          <w:szCs w:val="24"/>
        </w:rPr>
        <w:t xml:space="preserve">reforming Florida’s </w:t>
      </w:r>
      <w:r w:rsidR="0091502C">
        <w:rPr>
          <w:rFonts w:ascii="Barlow" w:hAnsi="Barlow" w:cstheme="minorHAnsi"/>
          <w:color w:val="FFFFFF" w:themeColor="background1"/>
          <w:sz w:val="24"/>
          <w:szCs w:val="24"/>
        </w:rPr>
        <w:t xml:space="preserve">license </w:t>
      </w:r>
      <w:r w:rsidR="008B3DE5">
        <w:rPr>
          <w:rFonts w:ascii="Barlow" w:hAnsi="Barlow" w:cstheme="minorHAnsi"/>
          <w:color w:val="FFFFFF" w:themeColor="background1"/>
          <w:sz w:val="24"/>
          <w:szCs w:val="24"/>
        </w:rPr>
        <w:t xml:space="preserve">suspension policies, </w:t>
      </w:r>
      <w:r w:rsidR="00A67BE4">
        <w:rPr>
          <w:rFonts w:ascii="Barlow" w:hAnsi="Barlow" w:cstheme="minorHAnsi"/>
          <w:color w:val="FFFFFF" w:themeColor="background1"/>
          <w:sz w:val="24"/>
          <w:szCs w:val="24"/>
        </w:rPr>
        <w:t xml:space="preserve">expanding discretion for judges to reduce or eliminate fees, while ensuring there is no impact on </w:t>
      </w:r>
      <w:r w:rsidR="00E14392">
        <w:rPr>
          <w:rFonts w:ascii="Barlow" w:hAnsi="Barlow" w:cstheme="minorHAnsi"/>
          <w:color w:val="FFFFFF" w:themeColor="background1"/>
          <w:sz w:val="24"/>
          <w:szCs w:val="24"/>
        </w:rPr>
        <w:t>the suspension of license</w:t>
      </w:r>
      <w:r w:rsidR="00647E85">
        <w:rPr>
          <w:rFonts w:ascii="Barlow" w:hAnsi="Barlow" w:cstheme="minorHAnsi"/>
          <w:color w:val="FFFFFF" w:themeColor="background1"/>
          <w:sz w:val="24"/>
          <w:szCs w:val="24"/>
        </w:rPr>
        <w:t>s</w:t>
      </w:r>
      <w:r w:rsidR="00E14392">
        <w:rPr>
          <w:rFonts w:ascii="Barlow" w:hAnsi="Barlow" w:cstheme="minorHAnsi"/>
          <w:color w:val="FFFFFF" w:themeColor="background1"/>
          <w:sz w:val="24"/>
          <w:szCs w:val="24"/>
        </w:rPr>
        <w:t xml:space="preserve"> for dangerous driving offenses. </w:t>
      </w:r>
      <w:r w:rsidR="00596953">
        <w:rPr>
          <w:rFonts w:ascii="Barlow" w:hAnsi="Barlow" w:cstheme="minorHAnsi"/>
          <w:color w:val="FFFFFF" w:themeColor="background1"/>
          <w:sz w:val="24"/>
          <w:szCs w:val="24"/>
        </w:rPr>
        <w:t xml:space="preserve">  </w:t>
      </w:r>
      <w:r w:rsidR="00425E3F">
        <w:rPr>
          <w:rFonts w:ascii="Barlow" w:hAnsi="Barlow" w:cstheme="minorHAnsi"/>
          <w:color w:val="FFFFFF" w:themeColor="background1"/>
          <w:sz w:val="24"/>
          <w:szCs w:val="24"/>
        </w:rPr>
        <w:t xml:space="preserve"> </w:t>
      </w:r>
      <w:r w:rsidR="00AC0BE7">
        <w:rPr>
          <w:rFonts w:ascii="Barlow" w:hAnsi="Barlow" w:cstheme="minorHAnsi"/>
          <w:color w:val="FFFFFF" w:themeColor="background1"/>
          <w:sz w:val="24"/>
          <w:szCs w:val="24"/>
        </w:rPr>
        <w:t xml:space="preserve"> </w:t>
      </w:r>
    </w:p>
    <w:p w14:paraId="28F74DF7" w14:textId="77777777" w:rsidR="00AB280B" w:rsidRPr="008326DB" w:rsidRDefault="00AB280B" w:rsidP="009C4305">
      <w:pPr>
        <w:pStyle w:val="Heading1"/>
        <w:rPr>
          <w:sz w:val="32"/>
          <w:szCs w:val="32"/>
        </w:rPr>
      </w:pPr>
    </w:p>
    <w:p w14:paraId="767EB6F4" w14:textId="4A7A1A45" w:rsidR="009C4305" w:rsidRDefault="002F56BC" w:rsidP="009C4305">
      <w:pPr>
        <w:pStyle w:val="Heading1"/>
      </w:pPr>
      <w:r>
        <w:t>What do HB 921</w:t>
      </w:r>
      <w:r w:rsidR="00823B04">
        <w:t>/SB968</w:t>
      </w:r>
      <w:r>
        <w:t xml:space="preserve"> Do? </w:t>
      </w:r>
    </w:p>
    <w:p w14:paraId="658DE42E" w14:textId="0A561991" w:rsidR="00312970" w:rsidRDefault="00C55D0A" w:rsidP="009C4305">
      <w:pPr>
        <w:pStyle w:val="Subtitle"/>
        <w:rPr>
          <w:rFonts w:ascii="Barlow" w:hAnsi="Barlow"/>
        </w:rPr>
      </w:pPr>
      <w:r>
        <w:rPr>
          <w:rFonts w:ascii="Barlow" w:hAnsi="Barlow"/>
        </w:rPr>
        <w:t>Ends</w:t>
      </w:r>
      <w:r w:rsidR="003139DF">
        <w:rPr>
          <w:rFonts w:ascii="Barlow" w:hAnsi="Barlow"/>
        </w:rPr>
        <w:t xml:space="preserve"> </w:t>
      </w:r>
      <w:r w:rsidR="001A53C0" w:rsidRPr="001A53C0">
        <w:rPr>
          <w:rFonts w:ascii="Barlow" w:hAnsi="Barlow"/>
        </w:rPr>
        <w:t xml:space="preserve">license suspensions for failure to pay </w:t>
      </w:r>
      <w:r w:rsidR="00A91595">
        <w:rPr>
          <w:rFonts w:ascii="Barlow" w:hAnsi="Barlow"/>
        </w:rPr>
        <w:t xml:space="preserve">certain </w:t>
      </w:r>
      <w:r w:rsidR="001A53C0" w:rsidRPr="001A53C0">
        <w:rPr>
          <w:rFonts w:ascii="Barlow" w:hAnsi="Barlow"/>
        </w:rPr>
        <w:t>criminal and traffic court fines and fees</w:t>
      </w:r>
      <w:r w:rsidR="001A53C0">
        <w:rPr>
          <w:rFonts w:ascii="Barlow" w:hAnsi="Barlow"/>
        </w:rPr>
        <w:t xml:space="preserve"> except for offense</w:t>
      </w:r>
      <w:r w:rsidR="00A64A51">
        <w:rPr>
          <w:rFonts w:ascii="Barlow" w:hAnsi="Barlow"/>
        </w:rPr>
        <w:t xml:space="preserve">s </w:t>
      </w:r>
      <w:r w:rsidR="00F637F2">
        <w:rPr>
          <w:rFonts w:ascii="Barlow" w:hAnsi="Barlow"/>
        </w:rPr>
        <w:t>related to dangerous driving</w:t>
      </w:r>
      <w:r w:rsidR="00012223">
        <w:rPr>
          <w:rFonts w:ascii="Barlow" w:hAnsi="Barlow"/>
        </w:rPr>
        <w:t xml:space="preserve">, </w:t>
      </w:r>
      <w:r w:rsidR="00B93FA5">
        <w:rPr>
          <w:rFonts w:ascii="Barlow" w:hAnsi="Barlow"/>
        </w:rPr>
        <w:t>restitution, and back child support</w:t>
      </w:r>
      <w:r w:rsidR="00F637F2">
        <w:rPr>
          <w:rFonts w:ascii="Barlow" w:hAnsi="Barlow"/>
        </w:rPr>
        <w:t xml:space="preserve">. </w:t>
      </w:r>
    </w:p>
    <w:p w14:paraId="1C6B6AF3" w14:textId="494E9B56" w:rsidR="009C4305" w:rsidRDefault="00312970" w:rsidP="009C4305">
      <w:pPr>
        <w:pStyle w:val="Subtitle"/>
        <w:rPr>
          <w:rFonts w:ascii="Barlow" w:hAnsi="Barlow"/>
        </w:rPr>
      </w:pPr>
      <w:r>
        <w:rPr>
          <w:rFonts w:ascii="Barlow" w:hAnsi="Barlow"/>
        </w:rPr>
        <w:t>A</w:t>
      </w:r>
      <w:r w:rsidR="00D84801">
        <w:rPr>
          <w:rFonts w:ascii="Barlow" w:hAnsi="Barlow"/>
        </w:rPr>
        <w:t>uthorizes</w:t>
      </w:r>
      <w:r>
        <w:rPr>
          <w:rFonts w:ascii="Barlow" w:hAnsi="Barlow"/>
        </w:rPr>
        <w:t xml:space="preserve"> </w:t>
      </w:r>
      <w:r w:rsidR="00B93FA5">
        <w:rPr>
          <w:rFonts w:ascii="Barlow" w:hAnsi="Barlow"/>
        </w:rPr>
        <w:t>judges</w:t>
      </w:r>
      <w:r>
        <w:rPr>
          <w:rFonts w:ascii="Barlow" w:hAnsi="Barlow"/>
        </w:rPr>
        <w:t xml:space="preserve"> to </w:t>
      </w:r>
      <w:r w:rsidRPr="00312970">
        <w:rPr>
          <w:rFonts w:ascii="Barlow" w:hAnsi="Barlow"/>
        </w:rPr>
        <w:t>modify payment plan or reduce, waive, or convert to community service outstanding fees, costs, or fines</w:t>
      </w:r>
      <w:r>
        <w:rPr>
          <w:rFonts w:ascii="Barlow" w:hAnsi="Barlow"/>
        </w:rPr>
        <w:t>.</w:t>
      </w:r>
    </w:p>
    <w:p w14:paraId="422314A6" w14:textId="6FC97D20" w:rsidR="00312970" w:rsidRDefault="00312970" w:rsidP="00312970">
      <w:pPr>
        <w:pStyle w:val="Subtitle"/>
        <w:rPr>
          <w:rFonts w:ascii="Barlow" w:hAnsi="Barlow"/>
        </w:rPr>
      </w:pPr>
      <w:r>
        <w:rPr>
          <w:rFonts w:ascii="Barlow" w:hAnsi="Barlow"/>
        </w:rPr>
        <w:t xml:space="preserve">Prohibits </w:t>
      </w:r>
      <w:r w:rsidR="003139DF">
        <w:rPr>
          <w:rFonts w:ascii="Barlow" w:hAnsi="Barlow"/>
        </w:rPr>
        <w:t xml:space="preserve">the clerk </w:t>
      </w:r>
      <w:r w:rsidR="003139DF" w:rsidRPr="003139DF">
        <w:rPr>
          <w:rFonts w:ascii="Barlow" w:hAnsi="Barlow"/>
        </w:rPr>
        <w:t xml:space="preserve">from sending incarcerated individual's account to </w:t>
      </w:r>
      <w:r w:rsidR="007D2B37">
        <w:rPr>
          <w:rFonts w:ascii="Barlow" w:hAnsi="Barlow"/>
        </w:rPr>
        <w:t xml:space="preserve">a </w:t>
      </w:r>
      <w:r w:rsidR="003139DF" w:rsidRPr="003139DF">
        <w:rPr>
          <w:rFonts w:ascii="Barlow" w:hAnsi="Barlow"/>
        </w:rPr>
        <w:t>collection agency or suspending incarcerated individual's driver license</w:t>
      </w:r>
      <w:r w:rsidR="003139DF">
        <w:rPr>
          <w:rFonts w:ascii="Barlow" w:hAnsi="Barlow"/>
        </w:rPr>
        <w:t>.</w:t>
      </w:r>
    </w:p>
    <w:p w14:paraId="4766CA16" w14:textId="0ED21F4F" w:rsidR="00312970" w:rsidRPr="00312970" w:rsidRDefault="002A058C" w:rsidP="00213575">
      <w:pPr>
        <w:pStyle w:val="Subtitle"/>
      </w:pPr>
      <w:r w:rsidRPr="00D1009F">
        <w:rPr>
          <w:rFonts w:ascii="Barlow" w:hAnsi="Barlow"/>
        </w:rPr>
        <w:t xml:space="preserve">Reinstates over 716,000 licenses currently suspended for failure to pay after payment of a single </w:t>
      </w:r>
      <w:r w:rsidR="00D1009F" w:rsidRPr="00D1009F">
        <w:rPr>
          <w:rFonts w:ascii="Barlow" w:hAnsi="Barlow"/>
        </w:rPr>
        <w:t>re</w:t>
      </w:r>
      <w:r w:rsidR="00D1009F">
        <w:rPr>
          <w:rFonts w:ascii="Barlow" w:hAnsi="Barlow"/>
        </w:rPr>
        <w:t xml:space="preserve">instatement fee. </w:t>
      </w:r>
    </w:p>
    <w:p w14:paraId="29914E38" w14:textId="5B6DE552" w:rsidR="00952CED" w:rsidRDefault="00952CED" w:rsidP="00CF6967">
      <w:pPr>
        <w:pStyle w:val="Heading1"/>
      </w:pPr>
    </w:p>
    <w:p w14:paraId="22036F91" w14:textId="77777777" w:rsidR="0004004E" w:rsidRPr="0004004E" w:rsidRDefault="0004004E" w:rsidP="0004004E"/>
    <w:p w14:paraId="20FBA81B" w14:textId="78211E38" w:rsidR="00CF6967" w:rsidRDefault="00CF6967" w:rsidP="00CF6967">
      <w:pPr>
        <w:pStyle w:val="Heading1"/>
      </w:pPr>
      <w:r>
        <w:lastRenderedPageBreak/>
        <w:t xml:space="preserve">Driver’s License Suspensions Harm </w:t>
      </w:r>
      <w:r w:rsidR="00AB04D7">
        <w:t>the State’s</w:t>
      </w:r>
      <w:r>
        <w:t xml:space="preserve"> Economy </w:t>
      </w:r>
    </w:p>
    <w:p w14:paraId="72211664" w14:textId="5D0AAD54" w:rsidR="00A37FEC" w:rsidRDefault="00AB04D7" w:rsidP="00A37FEC">
      <w:pPr>
        <w:pStyle w:val="Subtitle"/>
        <w:rPr>
          <w:rFonts w:ascii="Barlow" w:hAnsi="Barlow"/>
        </w:rPr>
      </w:pPr>
      <w:r>
        <w:rPr>
          <w:rFonts w:ascii="Barlow" w:hAnsi="Barlow"/>
        </w:rPr>
        <w:t>Florida is facing an ongoing worker shortage, with almost half of the state’s s</w:t>
      </w:r>
      <w:r w:rsidR="005605A1">
        <w:rPr>
          <w:rFonts w:ascii="Barlow" w:hAnsi="Barlow"/>
        </w:rPr>
        <w:t xml:space="preserve">mall businesses reporting that they are unable to fill open positions. </w:t>
      </w:r>
    </w:p>
    <w:p w14:paraId="7A64F56F" w14:textId="6875C11D" w:rsidR="00A37FEC" w:rsidRDefault="0050069B" w:rsidP="00A37FEC">
      <w:pPr>
        <w:pStyle w:val="Subtitle"/>
        <w:rPr>
          <w:rFonts w:ascii="Barlow" w:hAnsi="Barlow"/>
        </w:rPr>
      </w:pPr>
      <w:r>
        <w:rPr>
          <w:rFonts w:ascii="Barlow" w:hAnsi="Barlow"/>
        </w:rPr>
        <w:t xml:space="preserve">With public transportation </w:t>
      </w:r>
      <w:r w:rsidR="00016E0A">
        <w:rPr>
          <w:rFonts w:ascii="Barlow" w:hAnsi="Barlow"/>
        </w:rPr>
        <w:t xml:space="preserve">often </w:t>
      </w:r>
      <w:r w:rsidR="00A45FC6">
        <w:rPr>
          <w:rFonts w:ascii="Barlow" w:hAnsi="Barlow"/>
        </w:rPr>
        <w:t>not available or accessible</w:t>
      </w:r>
      <w:r>
        <w:rPr>
          <w:rFonts w:ascii="Barlow" w:hAnsi="Barlow"/>
        </w:rPr>
        <w:t xml:space="preserve">, Floridians who are unable to drive </w:t>
      </w:r>
      <w:r w:rsidR="00881BE1">
        <w:rPr>
          <w:rFonts w:ascii="Barlow" w:hAnsi="Barlow"/>
        </w:rPr>
        <w:t xml:space="preserve">are not only restricted from </w:t>
      </w:r>
      <w:r w:rsidR="00671D7E">
        <w:rPr>
          <w:rFonts w:ascii="Barlow" w:hAnsi="Barlow"/>
        </w:rPr>
        <w:t xml:space="preserve">achieving gainful </w:t>
      </w:r>
      <w:r w:rsidR="00182F37">
        <w:rPr>
          <w:rFonts w:ascii="Barlow" w:hAnsi="Barlow"/>
        </w:rPr>
        <w:t>employment but</w:t>
      </w:r>
      <w:r w:rsidR="00671D7E">
        <w:rPr>
          <w:rFonts w:ascii="Barlow" w:hAnsi="Barlow"/>
        </w:rPr>
        <w:t xml:space="preserve"> </w:t>
      </w:r>
      <w:r w:rsidR="005B6000">
        <w:rPr>
          <w:rFonts w:ascii="Barlow" w:hAnsi="Barlow"/>
        </w:rPr>
        <w:t xml:space="preserve">are </w:t>
      </w:r>
      <w:r w:rsidR="00182F37">
        <w:rPr>
          <w:rFonts w:ascii="Barlow" w:hAnsi="Barlow"/>
        </w:rPr>
        <w:t>also limited from</w:t>
      </w:r>
      <w:r w:rsidR="005B6000">
        <w:rPr>
          <w:rFonts w:ascii="Barlow" w:hAnsi="Barlow"/>
        </w:rPr>
        <w:t xml:space="preserve"> meaningfully participat</w:t>
      </w:r>
      <w:r w:rsidR="00182F37">
        <w:rPr>
          <w:rFonts w:ascii="Barlow" w:hAnsi="Barlow"/>
        </w:rPr>
        <w:t>ing</w:t>
      </w:r>
      <w:r w:rsidR="005B6000">
        <w:rPr>
          <w:rFonts w:ascii="Barlow" w:hAnsi="Barlow"/>
        </w:rPr>
        <w:t xml:space="preserve"> in the </w:t>
      </w:r>
      <w:r w:rsidR="0065063E">
        <w:rPr>
          <w:rFonts w:ascii="Barlow" w:hAnsi="Barlow"/>
        </w:rPr>
        <w:t xml:space="preserve">state’s </w:t>
      </w:r>
      <w:r w:rsidR="005B6000">
        <w:rPr>
          <w:rFonts w:ascii="Barlow" w:hAnsi="Barlow"/>
        </w:rPr>
        <w:t xml:space="preserve">growing economy. </w:t>
      </w:r>
    </w:p>
    <w:p w14:paraId="2AA4809F" w14:textId="00F61080" w:rsidR="00F17CB5" w:rsidRDefault="00005E57" w:rsidP="001B514A">
      <w:pPr>
        <w:pStyle w:val="Subtitle"/>
        <w:rPr>
          <w:rFonts w:ascii="Barlow" w:hAnsi="Barlow"/>
        </w:rPr>
      </w:pPr>
      <w:r>
        <w:rPr>
          <w:rFonts w:ascii="Barlow" w:hAnsi="Barlow"/>
        </w:rPr>
        <w:t xml:space="preserve">In 2019 alone, </w:t>
      </w:r>
      <w:r w:rsidRPr="00B3307D">
        <w:rPr>
          <w:rFonts w:ascii="Barlow" w:hAnsi="Barlow"/>
          <w:b/>
          <w:bCs/>
        </w:rPr>
        <w:t>Florida lost over $450 million dollars in consumer spending</w:t>
      </w:r>
      <w:r>
        <w:rPr>
          <w:rFonts w:ascii="Barlow" w:hAnsi="Barlow"/>
        </w:rPr>
        <w:t xml:space="preserve"> due to </w:t>
      </w:r>
      <w:r w:rsidR="00B3307D">
        <w:rPr>
          <w:rFonts w:ascii="Barlow" w:hAnsi="Barlow"/>
        </w:rPr>
        <w:t xml:space="preserve">driver’s licenses suspensions for unpaid court fines and fees. </w:t>
      </w:r>
    </w:p>
    <w:p w14:paraId="0E857A99" w14:textId="741EE247" w:rsidR="00791E0A" w:rsidRDefault="00791E0A" w:rsidP="00791E0A">
      <w:pPr>
        <w:pStyle w:val="Heading1"/>
      </w:pPr>
      <w:r>
        <w:t xml:space="preserve">Suspensions Do </w:t>
      </w:r>
      <w:r w:rsidR="00622BD0">
        <w:t>Not</w:t>
      </w:r>
      <w:r>
        <w:t xml:space="preserve"> Improve Public Safety </w:t>
      </w:r>
    </w:p>
    <w:p w14:paraId="7DC9F50C" w14:textId="40D0697C" w:rsidR="00CE06AF" w:rsidRDefault="004E283A" w:rsidP="00CE06AF">
      <w:pPr>
        <w:pStyle w:val="Subtitle"/>
        <w:rPr>
          <w:rFonts w:ascii="Barlow" w:hAnsi="Barlow"/>
        </w:rPr>
      </w:pPr>
      <w:r w:rsidRPr="006D61B5">
        <w:rPr>
          <w:rFonts w:ascii="Barlow" w:hAnsi="Barlow"/>
        </w:rPr>
        <w:t xml:space="preserve">Florida’s </w:t>
      </w:r>
      <w:r w:rsidR="00A77101">
        <w:rPr>
          <w:rFonts w:ascii="Barlow" w:hAnsi="Barlow"/>
        </w:rPr>
        <w:t>driver’s</w:t>
      </w:r>
      <w:r w:rsidR="0091502C">
        <w:rPr>
          <w:rFonts w:ascii="Barlow" w:hAnsi="Barlow"/>
        </w:rPr>
        <w:t xml:space="preserve"> </w:t>
      </w:r>
      <w:r w:rsidRPr="006D61B5">
        <w:rPr>
          <w:rFonts w:ascii="Barlow" w:hAnsi="Barlow"/>
        </w:rPr>
        <w:t xml:space="preserve">license suspension policy </w:t>
      </w:r>
      <w:r w:rsidR="00EA69B3" w:rsidRPr="006D61B5">
        <w:rPr>
          <w:rFonts w:ascii="Barlow" w:hAnsi="Barlow"/>
        </w:rPr>
        <w:t xml:space="preserve">diverts limited law enforcement resources </w:t>
      </w:r>
      <w:r w:rsidR="00182F37" w:rsidRPr="006D61B5">
        <w:rPr>
          <w:rFonts w:ascii="Barlow" w:hAnsi="Barlow"/>
        </w:rPr>
        <w:t xml:space="preserve">away from </w:t>
      </w:r>
      <w:r w:rsidR="00CE06AF" w:rsidRPr="006D61B5">
        <w:rPr>
          <w:rFonts w:ascii="Barlow" w:hAnsi="Barlow"/>
        </w:rPr>
        <w:t xml:space="preserve">legitimate threats from public safety. </w:t>
      </w:r>
    </w:p>
    <w:p w14:paraId="3D526147" w14:textId="67AA1D03" w:rsidR="00D30A78" w:rsidRPr="00D30A78" w:rsidRDefault="00D30A78" w:rsidP="00D30A78">
      <w:pPr>
        <w:pStyle w:val="Subtitle"/>
        <w:rPr>
          <w:rFonts w:ascii="Barlow" w:hAnsi="Barlow"/>
        </w:rPr>
      </w:pPr>
      <w:r w:rsidRPr="00952CED">
        <w:rPr>
          <w:rFonts w:ascii="Barlow" w:hAnsi="Barlow"/>
        </w:rPr>
        <w:t xml:space="preserve">1 in every 24 driving-age adults cannot drive under Florida law, in a state where nearly 90 percent of the population drives to work.    </w:t>
      </w:r>
    </w:p>
    <w:p w14:paraId="5054221F" w14:textId="0427F614" w:rsidR="00DF1902" w:rsidRDefault="00D30A78" w:rsidP="009B43A1">
      <w:pPr>
        <w:pStyle w:val="Subtitle"/>
        <w:rPr>
          <w:rFonts w:ascii="Barlow" w:hAnsi="Barlow"/>
        </w:rPr>
      </w:pPr>
      <w:r>
        <w:rPr>
          <w:rFonts w:ascii="Barlow" w:hAnsi="Barlow"/>
        </w:rPr>
        <w:t>As a result, an estimated 75</w:t>
      </w:r>
      <w:r w:rsidR="00F76ED6" w:rsidRPr="006D61B5">
        <w:rPr>
          <w:rFonts w:ascii="Barlow" w:hAnsi="Barlow"/>
        </w:rPr>
        <w:t xml:space="preserve"> percent of suspended drivers continue to </w:t>
      </w:r>
      <w:r w:rsidR="00050325" w:rsidRPr="006D61B5">
        <w:rPr>
          <w:rFonts w:ascii="Barlow" w:hAnsi="Barlow"/>
        </w:rPr>
        <w:t xml:space="preserve">use a vehicle to </w:t>
      </w:r>
      <w:r w:rsidR="00040289" w:rsidRPr="006D61B5">
        <w:rPr>
          <w:rFonts w:ascii="Barlow" w:hAnsi="Barlow"/>
        </w:rPr>
        <w:t>meet the essential needs of their daily lives</w:t>
      </w:r>
      <w:r w:rsidR="0068518E">
        <w:rPr>
          <w:rFonts w:ascii="Barlow" w:hAnsi="Barlow"/>
        </w:rPr>
        <w:t>, particularly in more rural areas of the state.</w:t>
      </w:r>
    </w:p>
    <w:p w14:paraId="08AA6AF5" w14:textId="0515DC52" w:rsidR="00122C01" w:rsidRPr="003E69B4" w:rsidRDefault="00326B01" w:rsidP="003E69B4">
      <w:pPr>
        <w:pStyle w:val="Subtitle"/>
        <w:rPr>
          <w:rFonts w:ascii="Barlow" w:hAnsi="Barlow"/>
        </w:rPr>
      </w:pPr>
      <w:r w:rsidRPr="006D61B5">
        <w:rPr>
          <w:rFonts w:ascii="Barlow" w:hAnsi="Barlow"/>
        </w:rPr>
        <w:t xml:space="preserve">If </w:t>
      </w:r>
      <w:r w:rsidR="00613484" w:rsidRPr="006D61B5">
        <w:rPr>
          <w:rFonts w:ascii="Barlow" w:hAnsi="Barlow"/>
        </w:rPr>
        <w:t>law enforcement</w:t>
      </w:r>
      <w:r w:rsidR="00EF4EDE" w:rsidRPr="006D61B5">
        <w:rPr>
          <w:rFonts w:ascii="Barlow" w:hAnsi="Barlow"/>
        </w:rPr>
        <w:t xml:space="preserve"> discovers a Floridian is driving on a suspended license, </w:t>
      </w:r>
      <w:r w:rsidR="00613484" w:rsidRPr="006D61B5">
        <w:rPr>
          <w:rFonts w:ascii="Barlow" w:hAnsi="Barlow"/>
        </w:rPr>
        <w:t>the attending officer is obligated to stop, cite, or even arrest the driver</w:t>
      </w:r>
      <w:r w:rsidR="003D67A5">
        <w:rPr>
          <w:rFonts w:ascii="Barlow" w:hAnsi="Barlow"/>
        </w:rPr>
        <w:t>,</w:t>
      </w:r>
      <w:r w:rsidR="00613484" w:rsidRPr="006D61B5">
        <w:rPr>
          <w:rFonts w:ascii="Barlow" w:hAnsi="Barlow"/>
        </w:rPr>
        <w:t xml:space="preserve"> even if the </w:t>
      </w:r>
      <w:r w:rsidR="00122C01" w:rsidRPr="006D61B5">
        <w:rPr>
          <w:rFonts w:ascii="Barlow" w:hAnsi="Barlow"/>
        </w:rPr>
        <w:t xml:space="preserve">suspension is completely unrelated to public safety or dangerous driving. </w:t>
      </w:r>
    </w:p>
    <w:p w14:paraId="44DD20C6" w14:textId="0F25951C" w:rsidR="007F66B2" w:rsidRDefault="007F66B2" w:rsidP="007F66B2">
      <w:pPr>
        <w:pStyle w:val="Subtitle"/>
        <w:rPr>
          <w:rFonts w:ascii="Barlow" w:hAnsi="Barlow"/>
        </w:rPr>
      </w:pPr>
      <w:r w:rsidRPr="006D61B5">
        <w:rPr>
          <w:rFonts w:ascii="Barlow" w:hAnsi="Barlow"/>
        </w:rPr>
        <w:t>According to 2021 data from the Florida Depar</w:t>
      </w:r>
      <w:r w:rsidR="00437552" w:rsidRPr="006D61B5">
        <w:rPr>
          <w:rFonts w:ascii="Barlow" w:hAnsi="Barlow"/>
        </w:rPr>
        <w:t xml:space="preserve">tment of Highway Safety and Motor Vehicles, 74.25 percent of </w:t>
      </w:r>
      <w:r w:rsidR="00D631B0" w:rsidRPr="006D61B5">
        <w:rPr>
          <w:rFonts w:ascii="Barlow" w:hAnsi="Barlow"/>
        </w:rPr>
        <w:t xml:space="preserve">suspension notices were issued from </w:t>
      </w:r>
      <w:r w:rsidR="00D631B0" w:rsidRPr="006D61B5">
        <w:rPr>
          <w:rFonts w:ascii="Barlow" w:hAnsi="Barlow"/>
          <w:b/>
          <w:bCs/>
        </w:rPr>
        <w:t>reasons other than dangerous driving</w:t>
      </w:r>
      <w:r w:rsidR="00D631B0" w:rsidRPr="006D61B5">
        <w:rPr>
          <w:rFonts w:ascii="Barlow" w:hAnsi="Barlow"/>
        </w:rPr>
        <w:t xml:space="preserve">. </w:t>
      </w:r>
    </w:p>
    <w:p w14:paraId="2C8D6D0B" w14:textId="77777777" w:rsidR="003E69B4" w:rsidRPr="003E69B4" w:rsidRDefault="003E69B4" w:rsidP="003E69B4"/>
    <w:p w14:paraId="7AE3C18F" w14:textId="1F423F0E" w:rsidR="00791E0A" w:rsidRPr="00791E0A" w:rsidRDefault="00514DF8" w:rsidP="00791E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AB14E7" wp14:editId="7B802868">
                <wp:simplePos x="0" y="0"/>
                <wp:positionH relativeFrom="margin">
                  <wp:posOffset>180362</wp:posOffset>
                </wp:positionH>
                <wp:positionV relativeFrom="paragraph">
                  <wp:posOffset>9589</wp:posOffset>
                </wp:positionV>
                <wp:extent cx="3278231" cy="342900"/>
                <wp:effectExtent l="0" t="0" r="1778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23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3349A" w14:textId="6A7195B3" w:rsidR="001B514A" w:rsidRPr="00E10982" w:rsidRDefault="001B514A" w:rsidP="001B51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rlow" w:eastAsiaTheme="minorEastAsia" w:hAnsi="Barlow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10982">
                              <w:rPr>
                                <w:rFonts w:ascii="Barlow" w:eastAsiaTheme="minorEastAsia" w:hAnsi="Barlow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Figure 1. </w:t>
                            </w:r>
                            <w:r w:rsidR="00AF65A5">
                              <w:rPr>
                                <w:rFonts w:ascii="Barlow" w:eastAsiaTheme="minorEastAsia" w:hAnsi="Barlow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Suspension</w:t>
                            </w:r>
                            <w:r w:rsidR="00AD599C">
                              <w:rPr>
                                <w:rFonts w:ascii="Barlow" w:eastAsiaTheme="minorEastAsia" w:hAnsi="Barlow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Notices in Florida</w:t>
                            </w:r>
                          </w:p>
                          <w:p w14:paraId="2AFACA4D" w14:textId="616D40A2" w:rsidR="001B514A" w:rsidRDefault="001B51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B1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pt;margin-top:.75pt;width:258.1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">
                <v:textbox>
                  <w:txbxContent>
                    <w:p w14:paraId="39D3349A" w14:textId="6A7195B3" w:rsidR="001B514A" w:rsidRPr="00E10982" w:rsidRDefault="001B514A" w:rsidP="001B514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rlow" w:eastAsiaTheme="minorEastAsia" w:hAnsi="Barlow" w:cstheme="minorBidi"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 w:rsidRPr="00E10982">
                        <w:rPr>
                          <w:rFonts w:ascii="Barlow" w:eastAsiaTheme="minorEastAsia" w:hAnsi="Barlow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Figure 1. </w:t>
                      </w:r>
                      <w:r w:rsidR="00AF65A5">
                        <w:rPr>
                          <w:rFonts w:ascii="Barlow" w:eastAsiaTheme="minorEastAsia" w:hAnsi="Barlow" w:cstheme="minorBidi"/>
                          <w:color w:val="FF0000"/>
                          <w:kern w:val="24"/>
                          <w:sz w:val="28"/>
                          <w:szCs w:val="28"/>
                        </w:rPr>
                        <w:t>Suspension</w:t>
                      </w:r>
                      <w:r w:rsidR="00AD599C">
                        <w:rPr>
                          <w:rFonts w:ascii="Barlow" w:eastAsiaTheme="minorEastAsia" w:hAnsi="Barlow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Notices in Florida</w:t>
                      </w:r>
                    </w:p>
                    <w:p w14:paraId="2AFACA4D" w14:textId="616D40A2" w:rsidR="001B514A" w:rsidRDefault="001B514A"/>
                  </w:txbxContent>
                </v:textbox>
                <w10:wrap anchorx="margin"/>
              </v:shape>
            </w:pict>
          </mc:Fallback>
        </mc:AlternateContent>
      </w:r>
    </w:p>
    <w:p w14:paraId="53F8DF35" w14:textId="1076F992" w:rsidR="00F17CB5" w:rsidRPr="001B514A" w:rsidRDefault="00716E8D" w:rsidP="001B514A">
      <w:r>
        <w:rPr>
          <w:noProof/>
        </w:rPr>
        <w:drawing>
          <wp:anchor distT="0" distB="0" distL="114300" distR="114300" simplePos="0" relativeHeight="251664384" behindDoc="1" locked="0" layoutInCell="1" allowOverlap="1" wp14:anchorId="3F512277" wp14:editId="47D595C3">
            <wp:simplePos x="0" y="0"/>
            <wp:positionH relativeFrom="margin">
              <wp:align>center</wp:align>
            </wp:positionH>
            <wp:positionV relativeFrom="paragraph">
              <wp:posOffset>9251</wp:posOffset>
            </wp:positionV>
            <wp:extent cx="5607050" cy="3282950"/>
            <wp:effectExtent l="0" t="0" r="12700" b="12700"/>
            <wp:wrapTight wrapText="bothSides">
              <wp:wrapPolygon edited="0">
                <wp:start x="0" y="0"/>
                <wp:lineTo x="0" y="21558"/>
                <wp:lineTo x="21576" y="21558"/>
                <wp:lineTo x="21576" y="0"/>
                <wp:lineTo x="0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A72D7" w14:textId="2DB54C70" w:rsidR="00F46256" w:rsidRDefault="00F46256" w:rsidP="00915E98">
      <w:pPr>
        <w:jc w:val="center"/>
      </w:pPr>
    </w:p>
    <w:p w14:paraId="7E26328D" w14:textId="5B652CC0" w:rsidR="00F46256" w:rsidRDefault="00E10982" w:rsidP="00915E9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0ED083" wp14:editId="4833159C">
                <wp:simplePos x="0" y="0"/>
                <wp:positionH relativeFrom="column">
                  <wp:posOffset>942975</wp:posOffset>
                </wp:positionH>
                <wp:positionV relativeFrom="paragraph">
                  <wp:posOffset>2162810</wp:posOffset>
                </wp:positionV>
                <wp:extent cx="4419600" cy="514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47B06" w14:textId="76CC328A" w:rsidR="00915E98" w:rsidRPr="00A20BBC" w:rsidRDefault="00915E98" w:rsidP="001B514A">
                            <w:pPr>
                              <w:spacing w:after="0" w:line="240" w:lineRule="auto"/>
                              <w:rPr>
                                <w:rFonts w:ascii="Barlow" w:hAnsi="Barlow"/>
                                <w:b/>
                                <w:bCs/>
                              </w:rPr>
                            </w:pPr>
                            <w:r w:rsidRPr="001B514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A20BBC">
                              <w:rPr>
                                <w:rFonts w:ascii="Barlow" w:hAnsi="Barlow"/>
                                <w:b/>
                                <w:bCs/>
                                <w:color w:val="FFFFFF" w:themeColor="background1"/>
                              </w:rPr>
                              <w:t xml:space="preserve">       OK</w:t>
                            </w:r>
                            <w:r w:rsidRPr="00A20BBC">
                              <w:rPr>
                                <w:rFonts w:ascii="Barlow" w:hAnsi="Barlow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         </w:t>
                            </w:r>
                            <w:r w:rsidR="00A74FF8"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       </w:t>
                            </w:r>
                            <w:r w:rsid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</w:t>
                            </w:r>
                            <w:r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>TX</w:t>
                            </w:r>
                            <w:r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ab/>
                            </w:r>
                            <w:r w:rsidR="00A74FF8"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             </w:t>
                            </w:r>
                            <w:r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</w:t>
                            </w:r>
                            <w:r w:rsid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</w:t>
                            </w:r>
                            <w:r w:rsidR="001B514A"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>SC</w:t>
                            </w:r>
                            <w:r w:rsidR="001B514A"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ab/>
                            </w:r>
                            <w:r w:rsidR="001B514A"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ab/>
                              <w:t xml:space="preserve">    </w:t>
                            </w:r>
                            <w:r w:rsidR="00A74FF8"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           </w:t>
                            </w:r>
                            <w:r w:rsid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</w:t>
                            </w:r>
                            <w:r w:rsidR="00A74FF8"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  </w:t>
                            </w:r>
                            <w:r w:rsidR="001B514A"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 </w:t>
                            </w:r>
                            <w:r w:rsid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</w:t>
                            </w:r>
                            <w:r w:rsidR="001B514A"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 DE</w:t>
                            </w:r>
                          </w:p>
                          <w:p w14:paraId="081C15F3" w14:textId="77223806" w:rsidR="001B514A" w:rsidRPr="00A20BBC" w:rsidRDefault="001B514A" w:rsidP="001B514A">
                            <w:pPr>
                              <w:spacing w:after="0" w:line="240" w:lineRule="auto"/>
                              <w:rPr>
                                <w:rFonts w:ascii="Barlow" w:hAnsi="Barlow"/>
                                <w:b/>
                                <w:bCs/>
                              </w:rPr>
                            </w:pPr>
                            <w:r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ab/>
                              <w:t xml:space="preserve">   </w:t>
                            </w:r>
                            <w:r w:rsidR="00A74FF8"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</w:t>
                            </w:r>
                            <w:r w:rsid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</w:t>
                            </w:r>
                            <w:r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 </w:t>
                            </w:r>
                            <w:r w:rsidRPr="00A20BBC">
                              <w:rPr>
                                <w:rFonts w:ascii="Barlow" w:hAnsi="Barlow"/>
                                <w:b/>
                                <w:bCs/>
                                <w:color w:val="FFFFFF" w:themeColor="background1"/>
                              </w:rPr>
                              <w:t>19%</w:t>
                            </w:r>
                            <w:r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 w:rsidR="0000267A"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            </w:t>
                            </w:r>
                            <w:r w:rsid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</w:t>
                            </w:r>
                            <w:r w:rsidR="0000267A"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</w:t>
                            </w:r>
                            <w:r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20%</w:t>
                            </w:r>
                            <w:r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ab/>
                            </w:r>
                            <w:r w:rsidR="00A74FF8"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         </w:t>
                            </w:r>
                            <w:r w:rsid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</w:t>
                            </w:r>
                            <w:r w:rsidR="00A74FF8"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   </w:t>
                            </w:r>
                            <w:r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>22%</w:t>
                            </w:r>
                            <w:r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ab/>
                            </w:r>
                            <w:r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ab/>
                              <w:t xml:space="preserve">     </w:t>
                            </w:r>
                            <w:r w:rsidR="00A74FF8"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  </w:t>
                            </w:r>
                            <w:r w:rsid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 </w:t>
                            </w:r>
                            <w:r w:rsidR="00A74FF8"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           </w:t>
                            </w:r>
                            <w:r w:rsidRPr="00A20BBC">
                              <w:rPr>
                                <w:rFonts w:ascii="Barlow" w:hAnsi="Barlow"/>
                                <w:b/>
                                <w:bCs/>
                              </w:rPr>
                              <w:t xml:space="preserve">  65%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D083" id="_x0000_s1027" type="#_x0000_t202" style="position:absolute;left:0;text-align:left;margin-left:74.25pt;margin-top:170.3pt;width:348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" filled="f" stroked="f">
                <v:textbox>
                  <w:txbxContent>
                    <w:p w14:paraId="08D47B06" w14:textId="76CC328A" w:rsidR="00915E98" w:rsidRPr="00A20BBC" w:rsidRDefault="00915E98" w:rsidP="001B514A">
                      <w:pPr>
                        <w:spacing w:after="0" w:line="240" w:lineRule="auto"/>
                        <w:rPr>
                          <w:rFonts w:ascii="Barlow" w:hAnsi="Barlow"/>
                          <w:b/>
                          <w:bCs/>
                        </w:rPr>
                      </w:pPr>
                      <w:r w:rsidRPr="001B514A">
                        <w:rPr>
                          <w:b/>
                          <w:bCs/>
                        </w:rPr>
                        <w:tab/>
                      </w:r>
                      <w:r w:rsidRPr="00A20BBC">
                        <w:rPr>
                          <w:rFonts w:ascii="Barlow" w:hAnsi="Barlow"/>
                          <w:b/>
                          <w:bCs/>
                          <w:color w:val="FFFFFF" w:themeColor="background1"/>
                        </w:rPr>
                        <w:t xml:space="preserve">       OK</w:t>
                      </w:r>
                      <w:r w:rsidRPr="00A20BBC">
                        <w:rPr>
                          <w:rFonts w:ascii="Barlow" w:hAnsi="Barlow"/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A20BBC">
                        <w:rPr>
                          <w:rFonts w:ascii="Barlow" w:hAnsi="Barlow"/>
                          <w:b/>
                          <w:bCs/>
                        </w:rPr>
                        <w:t xml:space="preserve">          </w:t>
                      </w:r>
                      <w:r w:rsidR="00A74FF8" w:rsidRPr="00A20BBC">
                        <w:rPr>
                          <w:rFonts w:ascii="Barlow" w:hAnsi="Barlow"/>
                          <w:b/>
                          <w:bCs/>
                        </w:rPr>
                        <w:t xml:space="preserve">        </w:t>
                      </w:r>
                      <w:r w:rsidR="00A20BBC">
                        <w:rPr>
                          <w:rFonts w:ascii="Barlow" w:hAnsi="Barlow"/>
                          <w:b/>
                          <w:bCs/>
                        </w:rPr>
                        <w:t xml:space="preserve"> </w:t>
                      </w:r>
                      <w:r w:rsidRPr="00A20BBC">
                        <w:rPr>
                          <w:rFonts w:ascii="Barlow" w:hAnsi="Barlow"/>
                          <w:b/>
                          <w:bCs/>
                        </w:rPr>
                        <w:t>TX</w:t>
                      </w:r>
                      <w:r w:rsidRPr="00A20BBC">
                        <w:rPr>
                          <w:rFonts w:ascii="Barlow" w:hAnsi="Barlow"/>
                          <w:b/>
                          <w:bCs/>
                        </w:rPr>
                        <w:tab/>
                      </w:r>
                      <w:r w:rsidR="00A74FF8" w:rsidRPr="00A20BBC">
                        <w:rPr>
                          <w:rFonts w:ascii="Barlow" w:hAnsi="Barlow"/>
                          <w:b/>
                          <w:bCs/>
                        </w:rPr>
                        <w:t xml:space="preserve">              </w:t>
                      </w:r>
                      <w:r w:rsidRPr="00A20BBC">
                        <w:rPr>
                          <w:rFonts w:ascii="Barlow" w:hAnsi="Barlow"/>
                          <w:b/>
                          <w:bCs/>
                        </w:rPr>
                        <w:t xml:space="preserve"> </w:t>
                      </w:r>
                      <w:r w:rsidR="00A20BBC">
                        <w:rPr>
                          <w:rFonts w:ascii="Barlow" w:hAnsi="Barlow"/>
                          <w:b/>
                          <w:bCs/>
                        </w:rPr>
                        <w:t xml:space="preserve"> </w:t>
                      </w:r>
                      <w:r w:rsidR="001B514A" w:rsidRPr="00A20BBC">
                        <w:rPr>
                          <w:rFonts w:ascii="Barlow" w:hAnsi="Barlow"/>
                          <w:b/>
                          <w:bCs/>
                        </w:rPr>
                        <w:t>SC</w:t>
                      </w:r>
                      <w:r w:rsidR="001B514A" w:rsidRPr="00A20BBC">
                        <w:rPr>
                          <w:rFonts w:ascii="Barlow" w:hAnsi="Barlow"/>
                          <w:b/>
                          <w:bCs/>
                        </w:rPr>
                        <w:tab/>
                      </w:r>
                      <w:r w:rsidR="001B514A" w:rsidRPr="00A20BBC">
                        <w:rPr>
                          <w:rFonts w:ascii="Barlow" w:hAnsi="Barlow"/>
                          <w:b/>
                          <w:bCs/>
                        </w:rPr>
                        <w:tab/>
                        <w:t xml:space="preserve">    </w:t>
                      </w:r>
                      <w:r w:rsidR="00A74FF8" w:rsidRPr="00A20BBC">
                        <w:rPr>
                          <w:rFonts w:ascii="Barlow" w:hAnsi="Barlow"/>
                          <w:b/>
                          <w:bCs/>
                        </w:rPr>
                        <w:t xml:space="preserve">            </w:t>
                      </w:r>
                      <w:r w:rsidR="00A20BBC">
                        <w:rPr>
                          <w:rFonts w:ascii="Barlow" w:hAnsi="Barlow"/>
                          <w:b/>
                          <w:bCs/>
                        </w:rPr>
                        <w:t xml:space="preserve"> </w:t>
                      </w:r>
                      <w:r w:rsidR="00A74FF8" w:rsidRPr="00A20BBC">
                        <w:rPr>
                          <w:rFonts w:ascii="Barlow" w:hAnsi="Barlow"/>
                          <w:b/>
                          <w:bCs/>
                        </w:rPr>
                        <w:t xml:space="preserve">   </w:t>
                      </w:r>
                      <w:r w:rsidR="001B514A" w:rsidRPr="00A20BBC">
                        <w:rPr>
                          <w:rFonts w:ascii="Barlow" w:hAnsi="Barlow"/>
                          <w:b/>
                          <w:bCs/>
                        </w:rPr>
                        <w:t xml:space="preserve">  </w:t>
                      </w:r>
                      <w:r w:rsidR="00A20BBC">
                        <w:rPr>
                          <w:rFonts w:ascii="Barlow" w:hAnsi="Barlow"/>
                          <w:b/>
                          <w:bCs/>
                        </w:rPr>
                        <w:t xml:space="preserve"> </w:t>
                      </w:r>
                      <w:r w:rsidR="001B514A" w:rsidRPr="00A20BBC">
                        <w:rPr>
                          <w:rFonts w:ascii="Barlow" w:hAnsi="Barlow"/>
                          <w:b/>
                          <w:bCs/>
                        </w:rPr>
                        <w:t xml:space="preserve">  DE</w:t>
                      </w:r>
                    </w:p>
                    <w:p w14:paraId="081C15F3" w14:textId="77223806" w:rsidR="001B514A" w:rsidRPr="00A20BBC" w:rsidRDefault="001B514A" w:rsidP="001B514A">
                      <w:pPr>
                        <w:spacing w:after="0" w:line="240" w:lineRule="auto"/>
                        <w:rPr>
                          <w:rFonts w:ascii="Barlow" w:hAnsi="Barlow"/>
                          <w:b/>
                          <w:bCs/>
                        </w:rPr>
                      </w:pPr>
                      <w:r w:rsidRPr="00A20BBC">
                        <w:rPr>
                          <w:rFonts w:ascii="Barlow" w:hAnsi="Barlow"/>
                          <w:b/>
                          <w:bCs/>
                        </w:rPr>
                        <w:tab/>
                        <w:t xml:space="preserve">   </w:t>
                      </w:r>
                      <w:r w:rsidR="00A74FF8" w:rsidRPr="00A20BBC">
                        <w:rPr>
                          <w:rFonts w:ascii="Barlow" w:hAnsi="Barlow"/>
                          <w:b/>
                          <w:bCs/>
                        </w:rPr>
                        <w:t xml:space="preserve"> </w:t>
                      </w:r>
                      <w:r w:rsidR="00A20BBC">
                        <w:rPr>
                          <w:rFonts w:ascii="Barlow" w:hAnsi="Barlow"/>
                          <w:b/>
                          <w:bCs/>
                        </w:rPr>
                        <w:t xml:space="preserve"> </w:t>
                      </w:r>
                      <w:r w:rsidRPr="00A20BBC">
                        <w:rPr>
                          <w:rFonts w:ascii="Barlow" w:hAnsi="Barlow"/>
                          <w:b/>
                          <w:bCs/>
                        </w:rPr>
                        <w:t xml:space="preserve">  </w:t>
                      </w:r>
                      <w:r w:rsidRPr="00A20BBC">
                        <w:rPr>
                          <w:rFonts w:ascii="Barlow" w:hAnsi="Barlow"/>
                          <w:b/>
                          <w:bCs/>
                          <w:color w:val="FFFFFF" w:themeColor="background1"/>
                        </w:rPr>
                        <w:t>19%</w:t>
                      </w:r>
                      <w:r w:rsidRPr="00A20BBC">
                        <w:rPr>
                          <w:rFonts w:ascii="Barlow" w:hAnsi="Barlow"/>
                          <w:b/>
                          <w:bCs/>
                        </w:rPr>
                        <w:tab/>
                        <w:t xml:space="preserve">  </w:t>
                      </w:r>
                      <w:r w:rsidR="0000267A" w:rsidRPr="00A20BBC">
                        <w:rPr>
                          <w:rFonts w:ascii="Barlow" w:hAnsi="Barlow"/>
                          <w:b/>
                          <w:bCs/>
                        </w:rPr>
                        <w:t xml:space="preserve">             </w:t>
                      </w:r>
                      <w:r w:rsidR="00A20BBC">
                        <w:rPr>
                          <w:rFonts w:ascii="Barlow" w:hAnsi="Barlow"/>
                          <w:b/>
                          <w:bCs/>
                        </w:rPr>
                        <w:t xml:space="preserve"> </w:t>
                      </w:r>
                      <w:r w:rsidR="0000267A" w:rsidRPr="00A20BBC">
                        <w:rPr>
                          <w:rFonts w:ascii="Barlow" w:hAnsi="Barlow"/>
                          <w:b/>
                          <w:bCs/>
                        </w:rPr>
                        <w:t xml:space="preserve"> </w:t>
                      </w:r>
                      <w:r w:rsidRPr="00A20BBC">
                        <w:rPr>
                          <w:rFonts w:ascii="Barlow" w:hAnsi="Barlow"/>
                          <w:b/>
                          <w:bCs/>
                        </w:rPr>
                        <w:t xml:space="preserve"> 20%</w:t>
                      </w:r>
                      <w:r w:rsidRPr="00A20BBC">
                        <w:rPr>
                          <w:rFonts w:ascii="Barlow" w:hAnsi="Barlow"/>
                          <w:b/>
                          <w:bCs/>
                        </w:rPr>
                        <w:tab/>
                      </w:r>
                      <w:r w:rsidR="00A74FF8" w:rsidRPr="00A20BBC">
                        <w:rPr>
                          <w:rFonts w:ascii="Barlow" w:hAnsi="Barlow"/>
                          <w:b/>
                          <w:bCs/>
                        </w:rPr>
                        <w:t xml:space="preserve">          </w:t>
                      </w:r>
                      <w:r w:rsidR="00A20BBC">
                        <w:rPr>
                          <w:rFonts w:ascii="Barlow" w:hAnsi="Barlow"/>
                          <w:b/>
                          <w:bCs/>
                        </w:rPr>
                        <w:t xml:space="preserve"> </w:t>
                      </w:r>
                      <w:r w:rsidR="00A74FF8" w:rsidRPr="00A20BBC">
                        <w:rPr>
                          <w:rFonts w:ascii="Barlow" w:hAnsi="Barlow"/>
                          <w:b/>
                          <w:bCs/>
                        </w:rPr>
                        <w:t xml:space="preserve">    </w:t>
                      </w:r>
                      <w:r w:rsidRPr="00A20BBC">
                        <w:rPr>
                          <w:rFonts w:ascii="Barlow" w:hAnsi="Barlow"/>
                          <w:b/>
                          <w:bCs/>
                        </w:rPr>
                        <w:t>22%</w:t>
                      </w:r>
                      <w:r w:rsidRPr="00A20BBC">
                        <w:rPr>
                          <w:rFonts w:ascii="Barlow" w:hAnsi="Barlow"/>
                          <w:b/>
                          <w:bCs/>
                        </w:rPr>
                        <w:tab/>
                      </w:r>
                      <w:r w:rsidRPr="00A20BBC">
                        <w:rPr>
                          <w:rFonts w:ascii="Barlow" w:hAnsi="Barlow"/>
                          <w:b/>
                          <w:bCs/>
                        </w:rPr>
                        <w:tab/>
                        <w:t xml:space="preserve">     </w:t>
                      </w:r>
                      <w:r w:rsidR="00A74FF8" w:rsidRPr="00A20BBC">
                        <w:rPr>
                          <w:rFonts w:ascii="Barlow" w:hAnsi="Barlow"/>
                          <w:b/>
                          <w:bCs/>
                        </w:rPr>
                        <w:t xml:space="preserve">   </w:t>
                      </w:r>
                      <w:r w:rsidR="00A20BBC">
                        <w:rPr>
                          <w:rFonts w:ascii="Barlow" w:hAnsi="Barlow"/>
                          <w:b/>
                          <w:bCs/>
                        </w:rPr>
                        <w:t xml:space="preserve">  </w:t>
                      </w:r>
                      <w:r w:rsidR="00A74FF8" w:rsidRPr="00A20BBC">
                        <w:rPr>
                          <w:rFonts w:ascii="Barlow" w:hAnsi="Barlow"/>
                          <w:b/>
                          <w:bCs/>
                        </w:rPr>
                        <w:t xml:space="preserve">            </w:t>
                      </w:r>
                      <w:r w:rsidRPr="00A20BBC">
                        <w:rPr>
                          <w:rFonts w:ascii="Barlow" w:hAnsi="Barlow"/>
                          <w:b/>
                          <w:bCs/>
                        </w:rPr>
                        <w:t xml:space="preserve">  65%</w:t>
                      </w:r>
                    </w:p>
                  </w:txbxContent>
                </v:textbox>
              </v:shape>
            </w:pict>
          </mc:Fallback>
        </mc:AlternateContent>
      </w:r>
    </w:p>
    <w:p w14:paraId="2308755D" w14:textId="063C577D" w:rsidR="00F17CB5" w:rsidRDefault="00F17CB5" w:rsidP="00E10982"/>
    <w:p w14:paraId="6241E306" w14:textId="77777777" w:rsidR="00E10982" w:rsidRPr="00E10982" w:rsidRDefault="00E10982" w:rsidP="00E10982"/>
    <w:p w14:paraId="2C8006F1" w14:textId="46970864" w:rsidR="00FB36B2" w:rsidRDefault="00FB36B2" w:rsidP="00FB36B2">
      <w:pPr>
        <w:jc w:val="both"/>
      </w:pPr>
    </w:p>
    <w:p w14:paraId="32DFB570" w14:textId="77777777" w:rsidR="00952CED" w:rsidRDefault="00952CED" w:rsidP="00F76078">
      <w:pPr>
        <w:pStyle w:val="Heading1"/>
      </w:pPr>
    </w:p>
    <w:p w14:paraId="0139B814" w14:textId="77777777" w:rsidR="00952CED" w:rsidRDefault="00952CED" w:rsidP="00F76078">
      <w:pPr>
        <w:pStyle w:val="Heading1"/>
      </w:pPr>
    </w:p>
    <w:p w14:paraId="2149D77D" w14:textId="77777777" w:rsidR="00952CED" w:rsidRDefault="00952CED" w:rsidP="00F76078">
      <w:pPr>
        <w:pStyle w:val="Heading1"/>
      </w:pPr>
    </w:p>
    <w:p w14:paraId="6533E2AF" w14:textId="77777777" w:rsidR="00952CED" w:rsidRDefault="00952CED" w:rsidP="00F76078">
      <w:pPr>
        <w:pStyle w:val="Heading1"/>
      </w:pPr>
    </w:p>
    <w:p w14:paraId="2B29D10D" w14:textId="03A17C8D" w:rsidR="00FB36B2" w:rsidRDefault="00595AE9" w:rsidP="00F76078">
      <w:pPr>
        <w:pStyle w:val="Heading1"/>
      </w:pPr>
      <w:r>
        <w:lastRenderedPageBreak/>
        <w:t xml:space="preserve">Ending Suspensions Provides a </w:t>
      </w:r>
      <w:r w:rsidR="00F76078">
        <w:t>Return on Investment</w:t>
      </w:r>
    </w:p>
    <w:p w14:paraId="246A42AB" w14:textId="16F011FD" w:rsidR="00353D2B" w:rsidRDefault="007E2AE7" w:rsidP="000E2928">
      <w:pPr>
        <w:pStyle w:val="Subtitle"/>
        <w:rPr>
          <w:rFonts w:ascii="Barlow" w:hAnsi="Barlow"/>
        </w:rPr>
      </w:pPr>
      <w:r>
        <w:rPr>
          <w:rFonts w:ascii="Barlow" w:hAnsi="Barlow"/>
        </w:rPr>
        <w:t>Debt based suspensions are proven to be ineffective in attempting to collect fines and fees</w:t>
      </w:r>
      <w:r w:rsidR="00353D2B">
        <w:rPr>
          <w:rFonts w:ascii="Barlow" w:hAnsi="Barlow"/>
        </w:rPr>
        <w:t>, limiting the ability of a</w:t>
      </w:r>
      <w:r w:rsidR="008B0537">
        <w:rPr>
          <w:rFonts w:ascii="Barlow" w:hAnsi="Barlow"/>
        </w:rPr>
        <w:t xml:space="preserve"> Floridian to </w:t>
      </w:r>
      <w:r w:rsidR="00353D2B">
        <w:rPr>
          <w:rFonts w:ascii="Barlow" w:hAnsi="Barlow"/>
        </w:rPr>
        <w:t>obtain gainful employment</w:t>
      </w:r>
      <w:r w:rsidR="008B0537">
        <w:rPr>
          <w:rFonts w:ascii="Barlow" w:hAnsi="Barlow"/>
        </w:rPr>
        <w:t>.</w:t>
      </w:r>
    </w:p>
    <w:p w14:paraId="59D87A49" w14:textId="0487A75C" w:rsidR="000E2928" w:rsidRDefault="00791C95" w:rsidP="000E2928">
      <w:pPr>
        <w:pStyle w:val="Subtitle"/>
        <w:rPr>
          <w:rFonts w:ascii="Barlow" w:hAnsi="Barlow"/>
        </w:rPr>
      </w:pPr>
      <w:r>
        <w:rPr>
          <w:rFonts w:ascii="Barlow" w:hAnsi="Barlow"/>
        </w:rPr>
        <w:t xml:space="preserve">Suspensions for failure to pay are indefinite – meaning </w:t>
      </w:r>
      <w:r w:rsidR="00FC3E88" w:rsidRPr="000B022C">
        <w:rPr>
          <w:rFonts w:ascii="Barlow" w:hAnsi="Barlow"/>
          <w:b/>
          <w:bCs/>
        </w:rPr>
        <w:t>the government is less likely to collect revenue</w:t>
      </w:r>
      <w:r w:rsidR="00FC3E88">
        <w:rPr>
          <w:rFonts w:ascii="Barlow" w:hAnsi="Barlow"/>
        </w:rPr>
        <w:t xml:space="preserve"> as a result of </w:t>
      </w:r>
      <w:r w:rsidR="008B0537">
        <w:rPr>
          <w:rFonts w:ascii="Barlow" w:hAnsi="Barlow"/>
        </w:rPr>
        <w:t>a permanent cycle of limiting the ability of the</w:t>
      </w:r>
      <w:r w:rsidR="00095AE3">
        <w:rPr>
          <w:rFonts w:ascii="Barlow" w:hAnsi="Barlow"/>
        </w:rPr>
        <w:t xml:space="preserve"> citizen</w:t>
      </w:r>
      <w:r w:rsidR="008B0537">
        <w:rPr>
          <w:rFonts w:ascii="Barlow" w:hAnsi="Barlow"/>
        </w:rPr>
        <w:t xml:space="preserve"> to pay their fine. </w:t>
      </w:r>
    </w:p>
    <w:p w14:paraId="5CB63A5F" w14:textId="2E3EAFBB" w:rsidR="00AD0E09" w:rsidRDefault="008B0537" w:rsidP="008B0537">
      <w:pPr>
        <w:pStyle w:val="Subtitle"/>
        <w:rPr>
          <w:rFonts w:ascii="Barlow" w:hAnsi="Barlow"/>
        </w:rPr>
      </w:pPr>
      <w:r>
        <w:rPr>
          <w:rFonts w:ascii="Barlow" w:hAnsi="Barlow"/>
        </w:rPr>
        <w:t xml:space="preserve">Studies </w:t>
      </w:r>
      <w:r w:rsidR="00A92ABD">
        <w:rPr>
          <w:rFonts w:ascii="Barlow" w:hAnsi="Barlow"/>
        </w:rPr>
        <w:t xml:space="preserve">in states that have </w:t>
      </w:r>
      <w:r w:rsidR="0005753B">
        <w:rPr>
          <w:rFonts w:ascii="Barlow" w:hAnsi="Barlow"/>
        </w:rPr>
        <w:t>limited or ended suspensions for fines and fees have shown that courts have been successful in collecting more</w:t>
      </w:r>
      <w:r w:rsidR="000B022C">
        <w:rPr>
          <w:rFonts w:ascii="Barlow" w:hAnsi="Barlow"/>
        </w:rPr>
        <w:t xml:space="preserve"> from individuals</w:t>
      </w:r>
      <w:r w:rsidR="00095AE3">
        <w:rPr>
          <w:rFonts w:ascii="Barlow" w:hAnsi="Barlow"/>
        </w:rPr>
        <w:t>, including restitution</w:t>
      </w:r>
      <w:r w:rsidR="009129E0">
        <w:rPr>
          <w:rFonts w:ascii="Barlow" w:hAnsi="Barlow"/>
        </w:rPr>
        <w:t xml:space="preserve"> when they do not issue a revocation. </w:t>
      </w:r>
      <w:r w:rsidR="00AD0E09">
        <w:rPr>
          <w:rFonts w:ascii="Barlow" w:hAnsi="Barlow"/>
        </w:rPr>
        <w:t xml:space="preserve"> </w:t>
      </w:r>
    </w:p>
    <w:p w14:paraId="295C756E" w14:textId="4D37CD23" w:rsidR="008B0537" w:rsidRPr="00A92ABD" w:rsidRDefault="00AD0E09" w:rsidP="008B0537">
      <w:pPr>
        <w:pStyle w:val="Subtitle"/>
        <w:rPr>
          <w:rFonts w:ascii="Barlow" w:hAnsi="Barlow"/>
        </w:rPr>
      </w:pPr>
      <w:r>
        <w:rPr>
          <w:rFonts w:ascii="Barlow" w:hAnsi="Barlow"/>
        </w:rPr>
        <w:t xml:space="preserve">For example, Texas municipal courts have found that when </w:t>
      </w:r>
      <w:r w:rsidR="00C64427">
        <w:rPr>
          <w:rFonts w:ascii="Barlow" w:hAnsi="Barlow"/>
        </w:rPr>
        <w:t xml:space="preserve">they do not hold license renewals for fines and fees </w:t>
      </w:r>
      <w:r w:rsidR="00C64427" w:rsidRPr="008E1AE3">
        <w:rPr>
          <w:rFonts w:ascii="Barlow" w:hAnsi="Barlow"/>
          <w:b/>
          <w:bCs/>
        </w:rPr>
        <w:t>the government collected $45 more per case</w:t>
      </w:r>
      <w:r w:rsidR="002D7E1B">
        <w:rPr>
          <w:rFonts w:ascii="Barlow" w:hAnsi="Barlow"/>
        </w:rPr>
        <w:t xml:space="preserve"> on average than those that did issue a hold or suspension. </w:t>
      </w:r>
    </w:p>
    <w:p w14:paraId="5DAAE842" w14:textId="1B3E771A" w:rsidR="000E2928" w:rsidRDefault="000E2928" w:rsidP="000E2928">
      <w:pPr>
        <w:pStyle w:val="Heading1"/>
      </w:pPr>
      <w:r>
        <w:t>Methodology</w:t>
      </w:r>
      <w:r w:rsidR="00960ADC">
        <w:t xml:space="preserve"> &amp; Conclusion </w:t>
      </w:r>
    </w:p>
    <w:p w14:paraId="3259FFB3" w14:textId="0C1805A8" w:rsidR="00322110" w:rsidRDefault="00036254" w:rsidP="000E2928">
      <w:pPr>
        <w:rPr>
          <w:rFonts w:ascii="Barlow" w:hAnsi="Barlow"/>
          <w:sz w:val="24"/>
          <w:szCs w:val="24"/>
        </w:rPr>
      </w:pPr>
      <w:r w:rsidRPr="00036254">
        <w:rPr>
          <w:rFonts w:ascii="Barlow" w:hAnsi="Barlow"/>
          <w:sz w:val="24"/>
          <w:szCs w:val="24"/>
        </w:rPr>
        <w:t>Analyzing data from the Florida Department of Highway Safety and Motor Vehicles</w:t>
      </w:r>
      <w:r w:rsidR="00605AFD">
        <w:rPr>
          <w:rFonts w:ascii="Barlow" w:hAnsi="Barlow"/>
          <w:sz w:val="24"/>
          <w:szCs w:val="24"/>
        </w:rPr>
        <w:t xml:space="preserve"> provides a snapshot of the specific reasons why </w:t>
      </w:r>
      <w:r w:rsidR="00E12EB7">
        <w:rPr>
          <w:rFonts w:ascii="Barlow" w:hAnsi="Barlow"/>
          <w:sz w:val="24"/>
          <w:szCs w:val="24"/>
        </w:rPr>
        <w:t>individuals across the state have face</w:t>
      </w:r>
      <w:r w:rsidR="00960ADC">
        <w:rPr>
          <w:rFonts w:ascii="Barlow" w:hAnsi="Barlow"/>
          <w:sz w:val="24"/>
          <w:szCs w:val="24"/>
        </w:rPr>
        <w:t xml:space="preserve">d license suspensions or revocations. </w:t>
      </w:r>
      <w:r w:rsidR="00802C38">
        <w:rPr>
          <w:rFonts w:ascii="Barlow" w:hAnsi="Barlow"/>
          <w:sz w:val="24"/>
          <w:szCs w:val="24"/>
        </w:rPr>
        <w:t xml:space="preserve">Specifically, </w:t>
      </w:r>
      <w:r w:rsidR="00A62EB8">
        <w:rPr>
          <w:rFonts w:ascii="Barlow" w:hAnsi="Barlow"/>
          <w:sz w:val="24"/>
          <w:szCs w:val="24"/>
        </w:rPr>
        <w:t xml:space="preserve">in 2021, </w:t>
      </w:r>
      <w:r w:rsidR="00397FF7">
        <w:rPr>
          <w:rFonts w:ascii="Barlow" w:hAnsi="Barlow"/>
          <w:sz w:val="24"/>
          <w:szCs w:val="24"/>
        </w:rPr>
        <w:t xml:space="preserve">only 40,449 of </w:t>
      </w:r>
      <w:r w:rsidR="00F34310">
        <w:rPr>
          <w:rFonts w:ascii="Barlow" w:hAnsi="Barlow"/>
          <w:sz w:val="24"/>
          <w:szCs w:val="24"/>
        </w:rPr>
        <w:t xml:space="preserve">the over </w:t>
      </w:r>
      <w:r w:rsidR="004242DF">
        <w:rPr>
          <w:rFonts w:ascii="Barlow" w:hAnsi="Barlow"/>
          <w:sz w:val="24"/>
          <w:szCs w:val="24"/>
        </w:rPr>
        <w:t xml:space="preserve">one </w:t>
      </w:r>
      <w:r w:rsidR="00F34310">
        <w:rPr>
          <w:rFonts w:ascii="Barlow" w:hAnsi="Barlow"/>
          <w:sz w:val="24"/>
          <w:szCs w:val="24"/>
        </w:rPr>
        <w:t xml:space="preserve">million license suspensions in Florida were </w:t>
      </w:r>
      <w:r w:rsidR="008E5CFD">
        <w:rPr>
          <w:rFonts w:ascii="Barlow" w:hAnsi="Barlow"/>
          <w:sz w:val="24"/>
          <w:szCs w:val="24"/>
        </w:rPr>
        <w:t xml:space="preserve">due to a traffic safety or dangerous driving offense that accrued on a resident’s license. </w:t>
      </w:r>
      <w:r w:rsidR="00A62EB8">
        <w:rPr>
          <w:rFonts w:ascii="Barlow" w:hAnsi="Barlow"/>
          <w:sz w:val="24"/>
          <w:szCs w:val="24"/>
        </w:rPr>
        <w:t>HB 921</w:t>
      </w:r>
      <w:r w:rsidR="003D67A5">
        <w:rPr>
          <w:rFonts w:ascii="Barlow" w:hAnsi="Barlow"/>
          <w:sz w:val="24"/>
          <w:szCs w:val="24"/>
        </w:rPr>
        <w:t>/SB</w:t>
      </w:r>
      <w:r w:rsidR="0028240B">
        <w:rPr>
          <w:rFonts w:ascii="Barlow" w:hAnsi="Barlow"/>
          <w:sz w:val="24"/>
          <w:szCs w:val="24"/>
        </w:rPr>
        <w:t>968</w:t>
      </w:r>
      <w:r w:rsidR="00A62EB8">
        <w:rPr>
          <w:rFonts w:ascii="Barlow" w:hAnsi="Barlow"/>
          <w:sz w:val="24"/>
          <w:szCs w:val="24"/>
        </w:rPr>
        <w:t xml:space="preserve"> would allow for prosecutors and law enforcement to keep this tool at their disposal, while eliminating the need for officers to respond to </w:t>
      </w:r>
      <w:r w:rsidR="00C21137">
        <w:rPr>
          <w:rFonts w:ascii="Barlow" w:hAnsi="Barlow"/>
          <w:sz w:val="24"/>
          <w:szCs w:val="24"/>
        </w:rPr>
        <w:t xml:space="preserve">citizens violating State license laws simply for their inability to pay. </w:t>
      </w:r>
    </w:p>
    <w:p w14:paraId="16A4A7D6" w14:textId="1FDA1AE8" w:rsidR="00FC2F16" w:rsidRDefault="00FC2F16" w:rsidP="000E2928">
      <w:p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 xml:space="preserve">Florida has the opportunity to prioritize public safety and improve its economy through </w:t>
      </w:r>
      <w:r w:rsidR="00ED0F40">
        <w:rPr>
          <w:rFonts w:ascii="Barlow" w:hAnsi="Barlow"/>
          <w:sz w:val="24"/>
          <w:szCs w:val="24"/>
        </w:rPr>
        <w:t xml:space="preserve">removing unnecessary barriers to employment </w:t>
      </w:r>
      <w:r w:rsidR="009F52CA">
        <w:rPr>
          <w:rFonts w:ascii="Barlow" w:hAnsi="Barlow"/>
          <w:sz w:val="24"/>
          <w:szCs w:val="24"/>
        </w:rPr>
        <w:t xml:space="preserve">and </w:t>
      </w:r>
      <w:r w:rsidR="00841CFC">
        <w:rPr>
          <w:rFonts w:ascii="Barlow" w:hAnsi="Barlow"/>
          <w:sz w:val="24"/>
          <w:szCs w:val="24"/>
        </w:rPr>
        <w:t xml:space="preserve">reinvesting resources to meet the needs of communities across the state. </w:t>
      </w:r>
      <w:r w:rsidR="007C4706">
        <w:rPr>
          <w:rFonts w:ascii="Barlow" w:hAnsi="Barlow"/>
          <w:sz w:val="24"/>
          <w:szCs w:val="24"/>
        </w:rPr>
        <w:t xml:space="preserve">Unburdening law enforcement from unnecessary </w:t>
      </w:r>
      <w:r w:rsidR="00807C1E">
        <w:rPr>
          <w:rFonts w:ascii="Barlow" w:hAnsi="Barlow"/>
          <w:sz w:val="24"/>
          <w:szCs w:val="24"/>
        </w:rPr>
        <w:t xml:space="preserve">enforcement of policies that have no bearing on public safety will only serve to increase the </w:t>
      </w:r>
      <w:r w:rsidR="009F254D">
        <w:rPr>
          <w:rFonts w:ascii="Barlow" w:hAnsi="Barlow"/>
          <w:sz w:val="24"/>
          <w:szCs w:val="24"/>
        </w:rPr>
        <w:t xml:space="preserve">ability of the police to protect </w:t>
      </w:r>
      <w:r w:rsidR="003E5E22">
        <w:rPr>
          <w:rFonts w:ascii="Barlow" w:hAnsi="Barlow"/>
          <w:sz w:val="24"/>
          <w:szCs w:val="24"/>
        </w:rPr>
        <w:t xml:space="preserve">the citizens they serve. </w:t>
      </w:r>
      <w:r w:rsidR="007F7553">
        <w:rPr>
          <w:rFonts w:ascii="Barlow" w:hAnsi="Barlow"/>
          <w:sz w:val="24"/>
          <w:szCs w:val="24"/>
        </w:rPr>
        <w:t>HB 921</w:t>
      </w:r>
      <w:r w:rsidR="0028240B">
        <w:rPr>
          <w:rFonts w:ascii="Barlow" w:hAnsi="Barlow"/>
          <w:sz w:val="24"/>
          <w:szCs w:val="24"/>
        </w:rPr>
        <w:t>/SB968</w:t>
      </w:r>
      <w:r w:rsidR="007F7553">
        <w:rPr>
          <w:rFonts w:ascii="Barlow" w:hAnsi="Barlow"/>
          <w:sz w:val="24"/>
          <w:szCs w:val="24"/>
        </w:rPr>
        <w:t xml:space="preserve"> also comes with the added benefit of increasing collection of outstanding restitution while invigorating Florida’s </w:t>
      </w:r>
      <w:r w:rsidR="003B7443">
        <w:rPr>
          <w:rFonts w:ascii="Barlow" w:hAnsi="Barlow"/>
          <w:sz w:val="24"/>
          <w:szCs w:val="24"/>
        </w:rPr>
        <w:t>vibrant</w:t>
      </w:r>
      <w:r w:rsidR="007F7553">
        <w:rPr>
          <w:rFonts w:ascii="Barlow" w:hAnsi="Barlow"/>
          <w:sz w:val="24"/>
          <w:szCs w:val="24"/>
        </w:rPr>
        <w:t xml:space="preserve"> economy </w:t>
      </w:r>
      <w:r w:rsidR="002D63B9">
        <w:rPr>
          <w:rFonts w:ascii="Barlow" w:hAnsi="Barlow"/>
          <w:sz w:val="24"/>
          <w:szCs w:val="24"/>
        </w:rPr>
        <w:t xml:space="preserve">by removing the limitations it places on its </w:t>
      </w:r>
      <w:r w:rsidR="003B7443">
        <w:rPr>
          <w:rFonts w:ascii="Barlow" w:hAnsi="Barlow"/>
          <w:sz w:val="24"/>
          <w:szCs w:val="24"/>
        </w:rPr>
        <w:t>growing</w:t>
      </w:r>
      <w:r w:rsidR="002D63B9">
        <w:rPr>
          <w:rFonts w:ascii="Barlow" w:hAnsi="Barlow"/>
          <w:sz w:val="24"/>
          <w:szCs w:val="24"/>
        </w:rPr>
        <w:t xml:space="preserve"> workforce. </w:t>
      </w:r>
    </w:p>
    <w:p w14:paraId="6C6B352B" w14:textId="77777777" w:rsidR="00F815BE" w:rsidRDefault="00F815BE" w:rsidP="000E2928">
      <w:pPr>
        <w:rPr>
          <w:rFonts w:ascii="Barlow" w:hAnsi="Barlow"/>
          <w:sz w:val="24"/>
          <w:szCs w:val="24"/>
        </w:rPr>
      </w:pPr>
    </w:p>
    <w:p w14:paraId="3A44C301" w14:textId="77777777" w:rsidR="000150E6" w:rsidRPr="00036254" w:rsidRDefault="000150E6" w:rsidP="000E2928">
      <w:pPr>
        <w:rPr>
          <w:rFonts w:ascii="Barlow" w:hAnsi="Barlow"/>
          <w:sz w:val="24"/>
          <w:szCs w:val="24"/>
        </w:rPr>
      </w:pPr>
    </w:p>
    <w:sectPr w:rsidR="000150E6" w:rsidRPr="00036254" w:rsidSect="0061562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E7B0" w14:textId="77777777" w:rsidR="003326F6" w:rsidRDefault="003326F6" w:rsidP="007F105E">
      <w:pPr>
        <w:spacing w:after="0" w:line="240" w:lineRule="auto"/>
      </w:pPr>
      <w:r>
        <w:separator/>
      </w:r>
    </w:p>
  </w:endnote>
  <w:endnote w:type="continuationSeparator" w:id="0">
    <w:p w14:paraId="7EE561EB" w14:textId="77777777" w:rsidR="003326F6" w:rsidRDefault="003326F6" w:rsidP="007F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825E" w14:textId="3EE500B8" w:rsidR="007F105E" w:rsidRPr="007F105E" w:rsidRDefault="007F105E" w:rsidP="007F105E">
    <w:pPr>
      <w:pStyle w:val="Foot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5963FD" wp14:editId="1D19E3F7">
          <wp:simplePos x="0" y="0"/>
          <wp:positionH relativeFrom="column">
            <wp:posOffset>-266700</wp:posOffset>
          </wp:positionH>
          <wp:positionV relativeFrom="paragraph">
            <wp:posOffset>-269218</wp:posOffset>
          </wp:positionV>
          <wp:extent cx="646953" cy="599902"/>
          <wp:effectExtent l="0" t="0" r="1270" b="0"/>
          <wp:wrapNone/>
          <wp:docPr id="7" name="Picture 7" descr="Nolan Center for Jus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lan Center for Justi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prstClr val="black"/>
                      <a:srgbClr val="FF0000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05" r="18934"/>
                  <a:stretch/>
                </pic:blipFill>
                <pic:spPr bwMode="auto">
                  <a:xfrm>
                    <a:off x="0" y="0"/>
                    <a:ext cx="646953" cy="5999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58BE0" wp14:editId="48A3C2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599B7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C6C8" w14:textId="77777777" w:rsidR="003326F6" w:rsidRDefault="003326F6" w:rsidP="007F105E">
      <w:pPr>
        <w:spacing w:after="0" w:line="240" w:lineRule="auto"/>
      </w:pPr>
      <w:r>
        <w:separator/>
      </w:r>
    </w:p>
  </w:footnote>
  <w:footnote w:type="continuationSeparator" w:id="0">
    <w:p w14:paraId="74D1E478" w14:textId="77777777" w:rsidR="003326F6" w:rsidRDefault="003326F6" w:rsidP="007F1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0B7E"/>
    <w:multiLevelType w:val="hybridMultilevel"/>
    <w:tmpl w:val="F9B2D47C"/>
    <w:lvl w:ilvl="0" w:tplc="C3BECD3C">
      <w:start w:val="2"/>
      <w:numFmt w:val="bullet"/>
      <w:lvlText w:val="-"/>
      <w:lvlJc w:val="left"/>
      <w:pPr>
        <w:ind w:left="20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" w15:restartNumberingAfterBreak="0">
    <w:nsid w:val="76881F40"/>
    <w:multiLevelType w:val="hybridMultilevel"/>
    <w:tmpl w:val="29841582"/>
    <w:lvl w:ilvl="0" w:tplc="6874B77E">
      <w:start w:val="1"/>
      <w:numFmt w:val="bullet"/>
      <w:pStyle w:val="Sub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911419">
    <w:abstractNumId w:val="1"/>
  </w:num>
  <w:num w:numId="2" w16cid:durableId="147582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54"/>
    <w:rsid w:val="0000267A"/>
    <w:rsid w:val="00005E57"/>
    <w:rsid w:val="000104AF"/>
    <w:rsid w:val="00012223"/>
    <w:rsid w:val="000150E6"/>
    <w:rsid w:val="00016E0A"/>
    <w:rsid w:val="00036254"/>
    <w:rsid w:val="0004004E"/>
    <w:rsid w:val="00040289"/>
    <w:rsid w:val="00050325"/>
    <w:rsid w:val="0005753B"/>
    <w:rsid w:val="00082FCC"/>
    <w:rsid w:val="0009130A"/>
    <w:rsid w:val="00095AE3"/>
    <w:rsid w:val="000B022C"/>
    <w:rsid w:val="000E2928"/>
    <w:rsid w:val="00100357"/>
    <w:rsid w:val="00122C01"/>
    <w:rsid w:val="00131B04"/>
    <w:rsid w:val="0013478C"/>
    <w:rsid w:val="00135026"/>
    <w:rsid w:val="00180620"/>
    <w:rsid w:val="00182F37"/>
    <w:rsid w:val="001927A9"/>
    <w:rsid w:val="00194F6A"/>
    <w:rsid w:val="001A1B0B"/>
    <w:rsid w:val="001A53C0"/>
    <w:rsid w:val="001B514A"/>
    <w:rsid w:val="001C2F9E"/>
    <w:rsid w:val="00211275"/>
    <w:rsid w:val="00211C00"/>
    <w:rsid w:val="00212347"/>
    <w:rsid w:val="00241B90"/>
    <w:rsid w:val="00252C72"/>
    <w:rsid w:val="0028240B"/>
    <w:rsid w:val="00297C1B"/>
    <w:rsid w:val="002A058C"/>
    <w:rsid w:val="002C291D"/>
    <w:rsid w:val="002D12AB"/>
    <w:rsid w:val="002D63B9"/>
    <w:rsid w:val="002D7E1B"/>
    <w:rsid w:val="002E5448"/>
    <w:rsid w:val="002E5E6E"/>
    <w:rsid w:val="002F56BC"/>
    <w:rsid w:val="00312970"/>
    <w:rsid w:val="003139DF"/>
    <w:rsid w:val="00321139"/>
    <w:rsid w:val="00322110"/>
    <w:rsid w:val="00326B01"/>
    <w:rsid w:val="003302E1"/>
    <w:rsid w:val="00331707"/>
    <w:rsid w:val="003326F6"/>
    <w:rsid w:val="00342241"/>
    <w:rsid w:val="00342DD9"/>
    <w:rsid w:val="003509A3"/>
    <w:rsid w:val="00353D2B"/>
    <w:rsid w:val="00375425"/>
    <w:rsid w:val="00394D6C"/>
    <w:rsid w:val="00397FF7"/>
    <w:rsid w:val="003A0A4F"/>
    <w:rsid w:val="003A21D9"/>
    <w:rsid w:val="003B51FB"/>
    <w:rsid w:val="003B7443"/>
    <w:rsid w:val="003D67A5"/>
    <w:rsid w:val="003E48F9"/>
    <w:rsid w:val="003E5E22"/>
    <w:rsid w:val="003E69B4"/>
    <w:rsid w:val="0040113B"/>
    <w:rsid w:val="004064A5"/>
    <w:rsid w:val="004111DE"/>
    <w:rsid w:val="004242DF"/>
    <w:rsid w:val="00425E3F"/>
    <w:rsid w:val="00427238"/>
    <w:rsid w:val="00430DAD"/>
    <w:rsid w:val="00437552"/>
    <w:rsid w:val="00442693"/>
    <w:rsid w:val="004509DF"/>
    <w:rsid w:val="00454A6E"/>
    <w:rsid w:val="00462919"/>
    <w:rsid w:val="0046740F"/>
    <w:rsid w:val="00493F25"/>
    <w:rsid w:val="0049658D"/>
    <w:rsid w:val="004B0F90"/>
    <w:rsid w:val="004B4FEA"/>
    <w:rsid w:val="004D30FD"/>
    <w:rsid w:val="004E283A"/>
    <w:rsid w:val="004F3DBC"/>
    <w:rsid w:val="0050069B"/>
    <w:rsid w:val="00503792"/>
    <w:rsid w:val="00514DF8"/>
    <w:rsid w:val="005234B1"/>
    <w:rsid w:val="005605A1"/>
    <w:rsid w:val="00595AE9"/>
    <w:rsid w:val="00596953"/>
    <w:rsid w:val="005B37E3"/>
    <w:rsid w:val="005B6000"/>
    <w:rsid w:val="005D28D1"/>
    <w:rsid w:val="005E572E"/>
    <w:rsid w:val="00605AFD"/>
    <w:rsid w:val="00613484"/>
    <w:rsid w:val="00614985"/>
    <w:rsid w:val="0061562A"/>
    <w:rsid w:val="00622BD0"/>
    <w:rsid w:val="00625817"/>
    <w:rsid w:val="0062647E"/>
    <w:rsid w:val="00644AF6"/>
    <w:rsid w:val="00647E85"/>
    <w:rsid w:val="0065063E"/>
    <w:rsid w:val="00651780"/>
    <w:rsid w:val="00664126"/>
    <w:rsid w:val="00671D7E"/>
    <w:rsid w:val="00673EBD"/>
    <w:rsid w:val="006779E1"/>
    <w:rsid w:val="0068518E"/>
    <w:rsid w:val="0069783D"/>
    <w:rsid w:val="006A6100"/>
    <w:rsid w:val="006A7B2B"/>
    <w:rsid w:val="006C2DD8"/>
    <w:rsid w:val="006D3054"/>
    <w:rsid w:val="006D61B5"/>
    <w:rsid w:val="006E34C4"/>
    <w:rsid w:val="006E53F3"/>
    <w:rsid w:val="006F4FCB"/>
    <w:rsid w:val="007008D0"/>
    <w:rsid w:val="00707509"/>
    <w:rsid w:val="00716E8D"/>
    <w:rsid w:val="00724D04"/>
    <w:rsid w:val="007314F7"/>
    <w:rsid w:val="007355BA"/>
    <w:rsid w:val="007555B2"/>
    <w:rsid w:val="00760487"/>
    <w:rsid w:val="00766105"/>
    <w:rsid w:val="0078138D"/>
    <w:rsid w:val="00790174"/>
    <w:rsid w:val="00791C95"/>
    <w:rsid w:val="00791E0A"/>
    <w:rsid w:val="00793B4E"/>
    <w:rsid w:val="007A384F"/>
    <w:rsid w:val="007A3F03"/>
    <w:rsid w:val="007A4A15"/>
    <w:rsid w:val="007B0225"/>
    <w:rsid w:val="007C4706"/>
    <w:rsid w:val="007D2B37"/>
    <w:rsid w:val="007D67C0"/>
    <w:rsid w:val="007E2AE7"/>
    <w:rsid w:val="007E5354"/>
    <w:rsid w:val="007F105E"/>
    <w:rsid w:val="007F66B2"/>
    <w:rsid w:val="007F7553"/>
    <w:rsid w:val="00802C38"/>
    <w:rsid w:val="00805EFF"/>
    <w:rsid w:val="00807C1E"/>
    <w:rsid w:val="00811D0C"/>
    <w:rsid w:val="00823B04"/>
    <w:rsid w:val="008250A0"/>
    <w:rsid w:val="008326DB"/>
    <w:rsid w:val="00841CFC"/>
    <w:rsid w:val="00847D05"/>
    <w:rsid w:val="00854387"/>
    <w:rsid w:val="008770B7"/>
    <w:rsid w:val="00881BE1"/>
    <w:rsid w:val="00881C01"/>
    <w:rsid w:val="008A0189"/>
    <w:rsid w:val="008B0537"/>
    <w:rsid w:val="008B3DE5"/>
    <w:rsid w:val="008B5112"/>
    <w:rsid w:val="008C03CC"/>
    <w:rsid w:val="008C6645"/>
    <w:rsid w:val="008E0100"/>
    <w:rsid w:val="008E1AE3"/>
    <w:rsid w:val="008E1DC8"/>
    <w:rsid w:val="008E5CFD"/>
    <w:rsid w:val="008E7C20"/>
    <w:rsid w:val="00905FF3"/>
    <w:rsid w:val="009129E0"/>
    <w:rsid w:val="0091502C"/>
    <w:rsid w:val="00915E98"/>
    <w:rsid w:val="00921731"/>
    <w:rsid w:val="0092481C"/>
    <w:rsid w:val="00926473"/>
    <w:rsid w:val="00927FAA"/>
    <w:rsid w:val="00952CED"/>
    <w:rsid w:val="00960ADC"/>
    <w:rsid w:val="0096300A"/>
    <w:rsid w:val="00967DD3"/>
    <w:rsid w:val="00970D52"/>
    <w:rsid w:val="00972529"/>
    <w:rsid w:val="00974CAD"/>
    <w:rsid w:val="00977470"/>
    <w:rsid w:val="009A29F6"/>
    <w:rsid w:val="009A2A30"/>
    <w:rsid w:val="009B1A8F"/>
    <w:rsid w:val="009B2BD3"/>
    <w:rsid w:val="009C4305"/>
    <w:rsid w:val="009D0F5B"/>
    <w:rsid w:val="009F254D"/>
    <w:rsid w:val="009F52CA"/>
    <w:rsid w:val="00A001BD"/>
    <w:rsid w:val="00A11F85"/>
    <w:rsid w:val="00A12575"/>
    <w:rsid w:val="00A13C02"/>
    <w:rsid w:val="00A20BBC"/>
    <w:rsid w:val="00A2631D"/>
    <w:rsid w:val="00A30563"/>
    <w:rsid w:val="00A37FEC"/>
    <w:rsid w:val="00A45FC6"/>
    <w:rsid w:val="00A46551"/>
    <w:rsid w:val="00A614B5"/>
    <w:rsid w:val="00A62EB8"/>
    <w:rsid w:val="00A64A51"/>
    <w:rsid w:val="00A67BE4"/>
    <w:rsid w:val="00A67CFB"/>
    <w:rsid w:val="00A74FF8"/>
    <w:rsid w:val="00A77101"/>
    <w:rsid w:val="00A84905"/>
    <w:rsid w:val="00A91595"/>
    <w:rsid w:val="00A92ABD"/>
    <w:rsid w:val="00A96821"/>
    <w:rsid w:val="00AB04D7"/>
    <w:rsid w:val="00AB280B"/>
    <w:rsid w:val="00AC0BE7"/>
    <w:rsid w:val="00AC1197"/>
    <w:rsid w:val="00AD0E09"/>
    <w:rsid w:val="00AD50F9"/>
    <w:rsid w:val="00AD599C"/>
    <w:rsid w:val="00AE7708"/>
    <w:rsid w:val="00AF172C"/>
    <w:rsid w:val="00AF29B8"/>
    <w:rsid w:val="00AF3CA3"/>
    <w:rsid w:val="00AF65A5"/>
    <w:rsid w:val="00B02E17"/>
    <w:rsid w:val="00B30531"/>
    <w:rsid w:val="00B3307D"/>
    <w:rsid w:val="00B34DE7"/>
    <w:rsid w:val="00B50842"/>
    <w:rsid w:val="00B64951"/>
    <w:rsid w:val="00B8784E"/>
    <w:rsid w:val="00B90E7A"/>
    <w:rsid w:val="00B93FA5"/>
    <w:rsid w:val="00B96E24"/>
    <w:rsid w:val="00BA1083"/>
    <w:rsid w:val="00BA2001"/>
    <w:rsid w:val="00BB61D1"/>
    <w:rsid w:val="00BC05CB"/>
    <w:rsid w:val="00BC5FD2"/>
    <w:rsid w:val="00BD270B"/>
    <w:rsid w:val="00BD4859"/>
    <w:rsid w:val="00BE072D"/>
    <w:rsid w:val="00BE2267"/>
    <w:rsid w:val="00BE6E1E"/>
    <w:rsid w:val="00BF2D9B"/>
    <w:rsid w:val="00C21137"/>
    <w:rsid w:val="00C456DA"/>
    <w:rsid w:val="00C55D0A"/>
    <w:rsid w:val="00C64427"/>
    <w:rsid w:val="00C97928"/>
    <w:rsid w:val="00CA0BB3"/>
    <w:rsid w:val="00CC00C1"/>
    <w:rsid w:val="00CC0E51"/>
    <w:rsid w:val="00CC3C72"/>
    <w:rsid w:val="00CC50F1"/>
    <w:rsid w:val="00CC5FB5"/>
    <w:rsid w:val="00CE06AF"/>
    <w:rsid w:val="00CF097A"/>
    <w:rsid w:val="00CF37E5"/>
    <w:rsid w:val="00CF6967"/>
    <w:rsid w:val="00D01F91"/>
    <w:rsid w:val="00D1009F"/>
    <w:rsid w:val="00D108DB"/>
    <w:rsid w:val="00D11F5A"/>
    <w:rsid w:val="00D30782"/>
    <w:rsid w:val="00D30A78"/>
    <w:rsid w:val="00D373ED"/>
    <w:rsid w:val="00D44208"/>
    <w:rsid w:val="00D57F01"/>
    <w:rsid w:val="00D6111B"/>
    <w:rsid w:val="00D62F28"/>
    <w:rsid w:val="00D631B0"/>
    <w:rsid w:val="00D6576D"/>
    <w:rsid w:val="00D810EE"/>
    <w:rsid w:val="00D82A6F"/>
    <w:rsid w:val="00D844A3"/>
    <w:rsid w:val="00D84801"/>
    <w:rsid w:val="00D86C63"/>
    <w:rsid w:val="00DA7218"/>
    <w:rsid w:val="00DC037A"/>
    <w:rsid w:val="00DD1A53"/>
    <w:rsid w:val="00DD4AC5"/>
    <w:rsid w:val="00DE3C34"/>
    <w:rsid w:val="00DE6370"/>
    <w:rsid w:val="00DF1087"/>
    <w:rsid w:val="00DF1902"/>
    <w:rsid w:val="00DF4EFD"/>
    <w:rsid w:val="00E06B06"/>
    <w:rsid w:val="00E10982"/>
    <w:rsid w:val="00E12EB7"/>
    <w:rsid w:val="00E14392"/>
    <w:rsid w:val="00E26165"/>
    <w:rsid w:val="00E410A7"/>
    <w:rsid w:val="00E42F74"/>
    <w:rsid w:val="00E50EA8"/>
    <w:rsid w:val="00E5124B"/>
    <w:rsid w:val="00E56CE4"/>
    <w:rsid w:val="00E60482"/>
    <w:rsid w:val="00E716DF"/>
    <w:rsid w:val="00E77A5D"/>
    <w:rsid w:val="00E90CEA"/>
    <w:rsid w:val="00EA113F"/>
    <w:rsid w:val="00EA3EAD"/>
    <w:rsid w:val="00EA69B3"/>
    <w:rsid w:val="00EB0737"/>
    <w:rsid w:val="00ED0F40"/>
    <w:rsid w:val="00EE5FCA"/>
    <w:rsid w:val="00EF1DC5"/>
    <w:rsid w:val="00EF4EDE"/>
    <w:rsid w:val="00F052E6"/>
    <w:rsid w:val="00F17CB5"/>
    <w:rsid w:val="00F22526"/>
    <w:rsid w:val="00F34310"/>
    <w:rsid w:val="00F353BC"/>
    <w:rsid w:val="00F46256"/>
    <w:rsid w:val="00F57F1D"/>
    <w:rsid w:val="00F637F2"/>
    <w:rsid w:val="00F70FD6"/>
    <w:rsid w:val="00F76078"/>
    <w:rsid w:val="00F76ED6"/>
    <w:rsid w:val="00F815BE"/>
    <w:rsid w:val="00F85E54"/>
    <w:rsid w:val="00F9479E"/>
    <w:rsid w:val="00FB36B2"/>
    <w:rsid w:val="00FB7337"/>
    <w:rsid w:val="00FC2F16"/>
    <w:rsid w:val="00FC3E88"/>
    <w:rsid w:val="00FC4B42"/>
    <w:rsid w:val="00FC56CA"/>
    <w:rsid w:val="00FD6171"/>
    <w:rsid w:val="00FF2819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C2B9E"/>
  <w15:chartTrackingRefBased/>
  <w15:docId w15:val="{644F5823-9A87-4D8F-A68B-F298DE30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305"/>
    <w:pPr>
      <w:outlineLvl w:val="0"/>
    </w:pPr>
    <w:rPr>
      <w:rFonts w:ascii="Times New Roman" w:hAnsi="Times New Roman" w:cs="Times New Roman"/>
      <w:color w:val="44546A" w:themeColor="text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4305"/>
    <w:rPr>
      <w:rFonts w:ascii="Times New Roman" w:hAnsi="Times New Roman" w:cs="Times New Roman"/>
      <w:color w:val="44546A" w:themeColor="text2"/>
      <w:sz w:val="44"/>
      <w:szCs w:val="44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9C4305"/>
    <w:pPr>
      <w:numPr>
        <w:numId w:val="1"/>
      </w:numPr>
    </w:pPr>
    <w:rPr>
      <w:rFonts w:cstheme="min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4305"/>
    <w:rPr>
      <w:rFonts w:cstheme="minorHAns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5E"/>
  </w:style>
  <w:style w:type="paragraph" w:styleId="Footer">
    <w:name w:val="footer"/>
    <w:basedOn w:val="Normal"/>
    <w:link w:val="FooterChar"/>
    <w:uiPriority w:val="99"/>
    <w:unhideWhenUsed/>
    <w:rsid w:val="007F1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5E"/>
  </w:style>
  <w:style w:type="character" w:styleId="CommentReference">
    <w:name w:val="annotation reference"/>
    <w:basedOn w:val="DefaultParagraphFont"/>
    <w:uiPriority w:val="99"/>
    <w:semiHidden/>
    <w:unhideWhenUsed/>
    <w:rsid w:val="007B0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2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5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Reason for Suspension Notices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Failure to Pay Traffic Fines &amp; Fees</c:v>
                </c:pt>
                <c:pt idx="1">
                  <c:v>Failure to Pay Criminal Fines &amp; Fees</c:v>
                </c:pt>
                <c:pt idx="2">
                  <c:v>Dangerous Driving Offenses </c:v>
                </c:pt>
                <c:pt idx="3">
                  <c:v>Points Accrued on a License 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836342</c:v>
                </c:pt>
                <c:pt idx="1">
                  <c:v>172487</c:v>
                </c:pt>
                <c:pt idx="2">
                  <c:v>31233</c:v>
                </c:pt>
                <c:pt idx="3">
                  <c:v>9216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35-4279-B9C5-52FC23E03B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1230255"/>
        <c:axId val="281246063"/>
      </c:barChart>
      <c:catAx>
        <c:axId val="2812302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1246063"/>
        <c:crosses val="autoZero"/>
        <c:auto val="1"/>
        <c:lblAlgn val="ctr"/>
        <c:lblOffset val="100"/>
        <c:noMultiLvlLbl val="0"/>
      </c:catAx>
      <c:valAx>
        <c:axId val="281246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12302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941E-316B-4769-BB6E-626BD442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Courtland Culver</dc:creator>
  <cp:keywords/>
  <dc:description/>
  <cp:lastModifiedBy>Ashlii Dyer</cp:lastModifiedBy>
  <cp:revision>3</cp:revision>
  <cp:lastPrinted>2022-03-31T17:15:00Z</cp:lastPrinted>
  <dcterms:created xsi:type="dcterms:W3CDTF">2023-03-09T15:47:00Z</dcterms:created>
  <dcterms:modified xsi:type="dcterms:W3CDTF">2023-03-09T15:47:00Z</dcterms:modified>
</cp:coreProperties>
</file>